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2835F" w14:textId="77777777" w:rsidR="000A3820" w:rsidRPr="006D390D" w:rsidRDefault="000A3820" w:rsidP="007B4E93">
      <w:pPr>
        <w:rPr>
          <w:rFonts w:ascii="Calibri" w:hAnsi="Calibri" w:cs="Calibri"/>
          <w:b/>
          <w:bCs/>
          <w:sz w:val="28"/>
          <w:szCs w:val="28"/>
        </w:rPr>
      </w:pPr>
    </w:p>
    <w:p w14:paraId="4B3F54AF" w14:textId="77777777" w:rsidR="00B366F7" w:rsidRPr="006D390D" w:rsidRDefault="00B366F7" w:rsidP="007B4E93">
      <w:pPr>
        <w:rPr>
          <w:rFonts w:ascii="Calibri" w:hAnsi="Calibri" w:cs="Calibri"/>
          <w:b/>
          <w:bCs/>
          <w:sz w:val="28"/>
          <w:szCs w:val="28"/>
        </w:rPr>
      </w:pPr>
    </w:p>
    <w:p w14:paraId="34984C56" w14:textId="6CC34923" w:rsidR="007B4E93" w:rsidRPr="006D390D" w:rsidRDefault="002C37BE" w:rsidP="009E3FE8">
      <w:pPr>
        <w:spacing w:after="0" w:line="240" w:lineRule="auto"/>
        <w:jc w:val="center"/>
        <w:rPr>
          <w:rFonts w:ascii="Calibri" w:hAnsi="Calibri" w:cs="Calibri"/>
          <w:b/>
          <w:bCs/>
          <w:sz w:val="28"/>
          <w:szCs w:val="28"/>
        </w:rPr>
      </w:pPr>
      <w:r w:rsidRPr="006D390D">
        <w:rPr>
          <w:rFonts w:ascii="Calibri" w:hAnsi="Calibri" w:cs="Calibri"/>
          <w:b/>
          <w:bCs/>
          <w:sz w:val="28"/>
          <w:szCs w:val="28"/>
        </w:rPr>
        <w:t>A LA AGENCIA TRIBUTARIA MADRID</w:t>
      </w:r>
    </w:p>
    <w:p w14:paraId="2E0FBFDE" w14:textId="4659EE44" w:rsidR="009C183A" w:rsidRPr="006D390D" w:rsidRDefault="009C183A" w:rsidP="009E3FE8">
      <w:pPr>
        <w:pBdr>
          <w:bottom w:val="single" w:sz="12" w:space="1" w:color="auto"/>
        </w:pBdr>
        <w:spacing w:after="0" w:line="240" w:lineRule="auto"/>
        <w:jc w:val="center"/>
        <w:rPr>
          <w:rFonts w:ascii="Calibri" w:hAnsi="Calibri" w:cs="Calibri"/>
          <w:b/>
          <w:bCs/>
          <w:sz w:val="28"/>
          <w:szCs w:val="28"/>
        </w:rPr>
      </w:pPr>
      <w:r w:rsidRPr="006D390D">
        <w:rPr>
          <w:rFonts w:ascii="Calibri" w:hAnsi="Calibri" w:cs="Calibri"/>
          <w:b/>
          <w:bCs/>
          <w:sz w:val="28"/>
          <w:szCs w:val="28"/>
        </w:rPr>
        <w:t xml:space="preserve">C/ Sacramento 1, </w:t>
      </w:r>
      <w:r w:rsidR="003D39E9" w:rsidRPr="006D390D">
        <w:rPr>
          <w:rFonts w:ascii="Calibri" w:hAnsi="Calibri" w:cs="Calibri"/>
          <w:b/>
          <w:bCs/>
          <w:sz w:val="28"/>
          <w:szCs w:val="28"/>
        </w:rPr>
        <w:t>28005 Madrid</w:t>
      </w:r>
    </w:p>
    <w:p w14:paraId="2CC29CC6" w14:textId="1456A55B" w:rsidR="002C37BE" w:rsidRPr="006D390D" w:rsidRDefault="002C37BE" w:rsidP="009E3FE8">
      <w:pPr>
        <w:spacing w:after="0" w:line="240" w:lineRule="auto"/>
        <w:jc w:val="center"/>
        <w:rPr>
          <w:rFonts w:ascii="Calibri" w:hAnsi="Calibri" w:cs="Calibri"/>
          <w:b/>
          <w:bCs/>
          <w:sz w:val="28"/>
          <w:szCs w:val="28"/>
        </w:rPr>
      </w:pPr>
      <w:r w:rsidRPr="006D390D">
        <w:rPr>
          <w:rFonts w:ascii="Calibri" w:hAnsi="Calibri" w:cs="Calibri"/>
          <w:b/>
          <w:bCs/>
          <w:sz w:val="28"/>
          <w:szCs w:val="28"/>
        </w:rPr>
        <w:t>AL TRIBUNAL ECONÓMICO-ADMINISTRATIVO MUNICIPAL DE MADRID</w:t>
      </w:r>
    </w:p>
    <w:p w14:paraId="7AACA968" w14:textId="3375C72A" w:rsidR="00830E6C" w:rsidRPr="006D390D" w:rsidRDefault="00830E6C" w:rsidP="009E3FE8">
      <w:pPr>
        <w:spacing w:after="0" w:line="240" w:lineRule="auto"/>
        <w:jc w:val="center"/>
        <w:rPr>
          <w:rFonts w:ascii="Calibri" w:hAnsi="Calibri" w:cs="Calibri"/>
          <w:b/>
          <w:bCs/>
          <w:sz w:val="28"/>
          <w:szCs w:val="28"/>
        </w:rPr>
      </w:pPr>
      <w:r w:rsidRPr="006D390D">
        <w:rPr>
          <w:rFonts w:ascii="Calibri" w:hAnsi="Calibri" w:cs="Calibri"/>
          <w:b/>
          <w:bCs/>
          <w:sz w:val="28"/>
          <w:szCs w:val="28"/>
        </w:rPr>
        <w:t xml:space="preserve">C/ Mayor 83, </w:t>
      </w:r>
      <w:r w:rsidR="00BF026B" w:rsidRPr="006D390D">
        <w:rPr>
          <w:rFonts w:ascii="Calibri" w:hAnsi="Calibri" w:cs="Calibri"/>
          <w:b/>
          <w:bCs/>
          <w:sz w:val="28"/>
          <w:szCs w:val="28"/>
        </w:rPr>
        <w:t>28013 Madrid</w:t>
      </w:r>
    </w:p>
    <w:p w14:paraId="3546EAE1" w14:textId="77777777" w:rsidR="007B4E93" w:rsidRPr="006D390D" w:rsidRDefault="007B4E93" w:rsidP="007B4E93"/>
    <w:p w14:paraId="45735F7A" w14:textId="77777777" w:rsidR="00B366F7" w:rsidRPr="006D390D" w:rsidRDefault="00B366F7" w:rsidP="007B4E93"/>
    <w:p w14:paraId="23C78E67" w14:textId="3EAF5AF9" w:rsidR="00D943B0" w:rsidRPr="00E57AF5" w:rsidRDefault="00D943B0" w:rsidP="00E57AF5">
      <w:pPr>
        <w:pStyle w:val="Prrafodelista"/>
        <w:numPr>
          <w:ilvl w:val="0"/>
          <w:numId w:val="2"/>
        </w:numPr>
        <w:spacing w:before="240" w:after="240" w:line="276" w:lineRule="auto"/>
        <w:jc w:val="both"/>
        <w:rPr>
          <w:rFonts w:cs="Calibri"/>
        </w:rPr>
      </w:pPr>
      <w:r w:rsidRPr="00E57AF5">
        <w:rPr>
          <w:rFonts w:cs="Calibri"/>
          <w:b/>
          <w:bCs/>
        </w:rPr>
        <w:t>D</w:t>
      </w:r>
      <w:r w:rsidR="00FC3642">
        <w:rPr>
          <w:rFonts w:cs="Calibri"/>
          <w:b/>
          <w:bCs/>
        </w:rPr>
        <w:t>/Dña.</w:t>
      </w:r>
      <w:r w:rsidRPr="00E57AF5">
        <w:rPr>
          <w:rFonts w:cs="Calibri"/>
        </w:rPr>
        <w:t xml:space="preserve"> con N.I.F </w:t>
      </w:r>
      <w:r w:rsidR="00FC3642">
        <w:rPr>
          <w:rFonts w:cs="Calibri"/>
          <w:b/>
          <w:bCs/>
        </w:rPr>
        <w:t>XXXXXXX</w:t>
      </w:r>
      <w:r w:rsidRPr="00E57AF5">
        <w:rPr>
          <w:rFonts w:cs="Calibri"/>
        </w:rPr>
        <w:t xml:space="preserve">, actuando en nombre y representación de </w:t>
      </w:r>
      <w:r w:rsidR="00FC3642">
        <w:rPr>
          <w:rFonts w:cs="Calibri"/>
          <w:b/>
          <w:bCs/>
        </w:rPr>
        <w:t>XXXXXXXXXXXXXXXXXXX</w:t>
      </w:r>
      <w:r w:rsidRPr="00E57AF5">
        <w:rPr>
          <w:rFonts w:cs="Calibri"/>
        </w:rPr>
        <w:t xml:space="preserve"> con N.I.F </w:t>
      </w:r>
      <w:r w:rsidR="00FC3642">
        <w:rPr>
          <w:rFonts w:cs="Calibri"/>
          <w:b/>
          <w:bCs/>
        </w:rPr>
        <w:t>XXXXXXX</w:t>
      </w:r>
      <w:r w:rsidRPr="00E57AF5">
        <w:rPr>
          <w:rFonts w:cs="Calibri"/>
        </w:rPr>
        <w:t xml:space="preserve">, y domicilio a efectos de notificaciones </w:t>
      </w:r>
      <w:r w:rsidR="00544ACC">
        <w:rPr>
          <w:rFonts w:cs="Calibri"/>
        </w:rPr>
        <w:t xml:space="preserve">en </w:t>
      </w:r>
      <w:r w:rsidR="00970921">
        <w:rPr>
          <w:rFonts w:cs="Calibri"/>
        </w:rPr>
        <w:t>[CALLE]</w:t>
      </w:r>
      <w:r w:rsidRPr="00E57AF5">
        <w:rPr>
          <w:rFonts w:cs="Calibri"/>
        </w:rPr>
        <w:t xml:space="preserve">, </w:t>
      </w:r>
      <w:r w:rsidR="00970921">
        <w:rPr>
          <w:rFonts w:cs="Calibri"/>
        </w:rPr>
        <w:t>[NÚMERO]</w:t>
      </w:r>
      <w:r w:rsidRPr="00E57AF5">
        <w:rPr>
          <w:rFonts w:cs="Calibri"/>
        </w:rPr>
        <w:t xml:space="preserve">, </w:t>
      </w:r>
      <w:r w:rsidR="009A2230">
        <w:rPr>
          <w:rFonts w:cs="Calibri"/>
        </w:rPr>
        <w:t>[PISO]</w:t>
      </w:r>
      <w:r w:rsidRPr="00E57AF5">
        <w:rPr>
          <w:rFonts w:cs="Calibri"/>
        </w:rPr>
        <w:t xml:space="preserve">, </w:t>
      </w:r>
      <w:r w:rsidR="009A2230">
        <w:rPr>
          <w:rFonts w:cs="Calibri"/>
        </w:rPr>
        <w:t>[CODIGO POSTAL]</w:t>
      </w:r>
      <w:r w:rsidRPr="00E57AF5">
        <w:rPr>
          <w:rFonts w:cs="Calibri"/>
        </w:rPr>
        <w:t xml:space="preserve">, </w:t>
      </w:r>
      <w:r w:rsidR="006308EB">
        <w:rPr>
          <w:rFonts w:cs="Calibri"/>
        </w:rPr>
        <w:t>[MUNICIPIO]</w:t>
      </w:r>
      <w:r w:rsidRPr="00E57AF5">
        <w:rPr>
          <w:rFonts w:cs="Calibri"/>
        </w:rPr>
        <w:t xml:space="preserve">, </w:t>
      </w:r>
      <w:r w:rsidR="006308EB">
        <w:rPr>
          <w:rFonts w:cs="Calibri"/>
        </w:rPr>
        <w:t>[</w:t>
      </w:r>
      <w:r w:rsidR="00777B68">
        <w:rPr>
          <w:rFonts w:cs="Calibri"/>
        </w:rPr>
        <w:t>PROVINCIA]</w:t>
      </w:r>
      <w:r w:rsidRPr="00E57AF5">
        <w:rPr>
          <w:rFonts w:cs="Calibri"/>
        </w:rPr>
        <w:t>, comparece y, como mejor proceda en Derecho,</w:t>
      </w:r>
    </w:p>
    <w:p w14:paraId="441B56BF" w14:textId="2A62BE4A" w:rsidR="00D943B0" w:rsidRPr="00D943B0" w:rsidRDefault="00D943B0" w:rsidP="00D943B0">
      <w:pPr>
        <w:pStyle w:val="Prrafodelista"/>
        <w:spacing w:after="240"/>
        <w:jc w:val="center"/>
        <w:rPr>
          <w:b/>
        </w:rPr>
      </w:pPr>
      <w:r w:rsidRPr="00D943B0">
        <w:rPr>
          <w:b/>
        </w:rPr>
        <w:t>DICE</w:t>
      </w:r>
    </w:p>
    <w:p w14:paraId="10D89CF0" w14:textId="034AD0D0" w:rsidR="000406AD" w:rsidRPr="006D390D" w:rsidRDefault="005E100A" w:rsidP="005E100A">
      <w:pPr>
        <w:pStyle w:val="Prrafodelista"/>
        <w:numPr>
          <w:ilvl w:val="0"/>
          <w:numId w:val="2"/>
        </w:numPr>
        <w:jc w:val="both"/>
        <w:rPr>
          <w:rFonts w:cs="Calibri"/>
        </w:rPr>
      </w:pPr>
      <w:r w:rsidRPr="006D390D">
        <w:rPr>
          <w:rFonts w:cs="Calibri"/>
        </w:rPr>
        <w:t xml:space="preserve">Que el pasado </w:t>
      </w:r>
      <w:r w:rsidR="00777B68">
        <w:rPr>
          <w:rFonts w:cs="Calibri"/>
        </w:rPr>
        <w:t>XXXXX</w:t>
      </w:r>
      <w:r w:rsidR="00FA0E39" w:rsidRPr="006D390D">
        <w:rPr>
          <w:rFonts w:cs="Calibri"/>
        </w:rPr>
        <w:t xml:space="preserve"> ha sido notificada la liquidación de la </w:t>
      </w:r>
      <w:r w:rsidR="009F4DCF" w:rsidRPr="006D390D">
        <w:rPr>
          <w:rFonts w:cs="Calibri"/>
        </w:rPr>
        <w:t>Tasa por Prestación del Servicio de Gestión de Residuos de Competencia Municipal</w:t>
      </w:r>
      <w:r w:rsidR="008044F9" w:rsidRPr="006D390D">
        <w:rPr>
          <w:rFonts w:cs="Calibri"/>
        </w:rPr>
        <w:t>, cuyos principales datos de identificación son los siguientes</w:t>
      </w:r>
      <w:r w:rsidR="000406AD" w:rsidRPr="006D390D">
        <w:rPr>
          <w:rFonts w:cs="Calibri"/>
        </w:rPr>
        <w:t>:</w:t>
      </w:r>
    </w:p>
    <w:p w14:paraId="6991CFDB" w14:textId="02F340C3" w:rsidR="007F62AF" w:rsidRPr="006D390D" w:rsidRDefault="000406AD" w:rsidP="005B6440">
      <w:pPr>
        <w:pStyle w:val="Prrafodelista"/>
        <w:numPr>
          <w:ilvl w:val="1"/>
          <w:numId w:val="7"/>
        </w:numPr>
        <w:jc w:val="both"/>
        <w:rPr>
          <w:rFonts w:cs="Calibri"/>
        </w:rPr>
      </w:pPr>
      <w:r w:rsidRPr="006D390D">
        <w:rPr>
          <w:rFonts w:cs="Calibri"/>
        </w:rPr>
        <w:t xml:space="preserve">Núm. referencia:  </w:t>
      </w:r>
      <w:r w:rsidR="00A04813" w:rsidRPr="006D390D">
        <w:rPr>
          <w:rFonts w:cs="Calibri"/>
        </w:rPr>
        <w:t>00</w:t>
      </w:r>
      <w:r w:rsidR="00742569">
        <w:rPr>
          <w:rFonts w:cs="Calibri"/>
        </w:rPr>
        <w:t>XXXXXXXX</w:t>
      </w:r>
    </w:p>
    <w:p w14:paraId="126DDBA5" w14:textId="28F7CC9D" w:rsidR="005B6440" w:rsidRPr="006D390D" w:rsidRDefault="005B6440" w:rsidP="005B6440">
      <w:pPr>
        <w:pStyle w:val="Prrafodelista"/>
        <w:numPr>
          <w:ilvl w:val="1"/>
          <w:numId w:val="7"/>
        </w:numPr>
        <w:jc w:val="both"/>
        <w:rPr>
          <w:rFonts w:cs="Calibri"/>
        </w:rPr>
      </w:pPr>
      <w:r w:rsidRPr="006D390D">
        <w:rPr>
          <w:rFonts w:cs="Calibri"/>
        </w:rPr>
        <w:t xml:space="preserve">Sujeto pasivo: </w:t>
      </w:r>
      <w:r w:rsidR="00742569">
        <w:rPr>
          <w:rFonts w:cs="Calibri"/>
        </w:rPr>
        <w:t>XXXXXXXXXXXXXXXXXXXX</w:t>
      </w:r>
    </w:p>
    <w:p w14:paraId="78139177" w14:textId="2D68F3B4" w:rsidR="005B6440" w:rsidRPr="006D390D" w:rsidRDefault="005B6440" w:rsidP="005B6440">
      <w:pPr>
        <w:pStyle w:val="Prrafodelista"/>
        <w:numPr>
          <w:ilvl w:val="1"/>
          <w:numId w:val="7"/>
        </w:numPr>
        <w:jc w:val="both"/>
        <w:rPr>
          <w:rFonts w:cs="Calibri"/>
        </w:rPr>
      </w:pPr>
      <w:r w:rsidRPr="006D390D">
        <w:rPr>
          <w:rFonts w:cs="Calibri"/>
        </w:rPr>
        <w:t xml:space="preserve">Importe: </w:t>
      </w:r>
      <w:r w:rsidR="00742569">
        <w:rPr>
          <w:rFonts w:cs="Calibri"/>
        </w:rPr>
        <w:t>X</w:t>
      </w:r>
      <w:r w:rsidRPr="006D390D">
        <w:rPr>
          <w:rFonts w:cs="Calibri"/>
        </w:rPr>
        <w:t xml:space="preserve"> €</w:t>
      </w:r>
    </w:p>
    <w:p w14:paraId="2ED8C86B" w14:textId="77777777" w:rsidR="002F3C65" w:rsidRPr="006D390D" w:rsidRDefault="002F3C65" w:rsidP="002F3C65">
      <w:pPr>
        <w:pStyle w:val="Prrafodelista"/>
        <w:jc w:val="both"/>
        <w:rPr>
          <w:rFonts w:cs="Calibri"/>
        </w:rPr>
      </w:pPr>
    </w:p>
    <w:p w14:paraId="48476154" w14:textId="03725F75" w:rsidR="008044F9" w:rsidRPr="006D390D" w:rsidRDefault="002546BA" w:rsidP="005E100A">
      <w:pPr>
        <w:pStyle w:val="Prrafodelista"/>
        <w:numPr>
          <w:ilvl w:val="0"/>
          <w:numId w:val="2"/>
        </w:numPr>
        <w:jc w:val="both"/>
        <w:rPr>
          <w:rFonts w:cs="Calibri"/>
        </w:rPr>
      </w:pPr>
      <w:r w:rsidRPr="006D390D">
        <w:rPr>
          <w:rFonts w:cs="Calibri"/>
        </w:rPr>
        <w:t>A</w:t>
      </w:r>
      <w:r w:rsidR="00406F08" w:rsidRPr="006D390D">
        <w:rPr>
          <w:rFonts w:cs="Calibri"/>
        </w:rPr>
        <w:t xml:space="preserve"> los efectos oportunos, acompañamos con documento núm. 1 copia del acto impugnado</w:t>
      </w:r>
      <w:r w:rsidR="00732FEB" w:rsidRPr="006D390D">
        <w:rPr>
          <w:rFonts w:cs="Calibri"/>
        </w:rPr>
        <w:t>.</w:t>
      </w:r>
    </w:p>
    <w:p w14:paraId="4682E2A8" w14:textId="77777777" w:rsidR="002F3C65" w:rsidRPr="006D390D" w:rsidRDefault="002F3C65" w:rsidP="002F3C65">
      <w:pPr>
        <w:pStyle w:val="Prrafodelista"/>
        <w:jc w:val="both"/>
        <w:rPr>
          <w:rFonts w:cs="Calibri"/>
        </w:rPr>
      </w:pPr>
    </w:p>
    <w:p w14:paraId="356E01BF" w14:textId="33671CA6" w:rsidR="008C41EB" w:rsidRPr="006D390D" w:rsidRDefault="00F16F66" w:rsidP="005E100A">
      <w:pPr>
        <w:pStyle w:val="Prrafodelista"/>
        <w:numPr>
          <w:ilvl w:val="0"/>
          <w:numId w:val="2"/>
        </w:numPr>
        <w:jc w:val="both"/>
        <w:rPr>
          <w:rFonts w:cs="Calibri"/>
        </w:rPr>
      </w:pPr>
      <w:r w:rsidRPr="006D390D">
        <w:rPr>
          <w:rFonts w:cs="Calibri"/>
        </w:rPr>
        <w:t xml:space="preserve">Que, contra dicha liquidación, presentamos con el mediante el presente escrito RECLAMACIÓN ECONÓMICO-ADMINISTRATIVA, </w:t>
      </w:r>
      <w:r w:rsidR="002D620A" w:rsidRPr="006D390D">
        <w:rPr>
          <w:rFonts w:cs="Calibri"/>
        </w:rPr>
        <w:t xml:space="preserve">en el que se incluyen las alegaciones que sustentan nuestra pretensión de </w:t>
      </w:r>
      <w:r w:rsidR="008C41EB" w:rsidRPr="006D390D">
        <w:rPr>
          <w:rFonts w:cs="Calibri"/>
        </w:rPr>
        <w:t>acuerdo con lo dispuesto en el artículo 37.2 del Reglamento del TEAMM</w:t>
      </w:r>
    </w:p>
    <w:p w14:paraId="5845D327" w14:textId="77777777" w:rsidR="008C41EB" w:rsidRPr="006D390D" w:rsidRDefault="008C41EB" w:rsidP="008C41EB">
      <w:pPr>
        <w:pStyle w:val="Prrafodelista"/>
        <w:rPr>
          <w:rFonts w:cs="Calibri"/>
        </w:rPr>
      </w:pPr>
    </w:p>
    <w:p w14:paraId="75D9AF38" w14:textId="4664E7C1" w:rsidR="003013A8" w:rsidRPr="006D390D" w:rsidRDefault="00882F2B" w:rsidP="005E100A">
      <w:pPr>
        <w:pStyle w:val="Prrafodelista"/>
        <w:numPr>
          <w:ilvl w:val="0"/>
          <w:numId w:val="2"/>
        </w:numPr>
        <w:jc w:val="both"/>
        <w:rPr>
          <w:rFonts w:cs="Calibri"/>
        </w:rPr>
      </w:pPr>
      <w:r w:rsidRPr="006D390D">
        <w:rPr>
          <w:rFonts w:cs="Calibri"/>
        </w:rPr>
        <w:t xml:space="preserve">Asimismo, en virtud de </w:t>
      </w:r>
      <w:r w:rsidR="000B5B91" w:rsidRPr="006D390D">
        <w:rPr>
          <w:rFonts w:cs="Calibri"/>
        </w:rPr>
        <w:t xml:space="preserve">lo </w:t>
      </w:r>
      <w:r w:rsidRPr="006D390D">
        <w:rPr>
          <w:rFonts w:cs="Calibri"/>
        </w:rPr>
        <w:t xml:space="preserve">establecido </w:t>
      </w:r>
      <w:r w:rsidR="000B5B91" w:rsidRPr="006D390D">
        <w:rPr>
          <w:rFonts w:cs="Calibri"/>
        </w:rPr>
        <w:t xml:space="preserve">en el </w:t>
      </w:r>
      <w:r w:rsidR="0030028E" w:rsidRPr="006D390D">
        <w:rPr>
          <w:rFonts w:cs="Calibri"/>
        </w:rPr>
        <w:t xml:space="preserve">artículo 37 del Reglamento del TEAM, manifestamos </w:t>
      </w:r>
      <w:r w:rsidR="000A053C" w:rsidRPr="006D390D">
        <w:rPr>
          <w:rFonts w:cs="Calibri"/>
        </w:rPr>
        <w:t xml:space="preserve">expresamente no haber interpuesto recurso de reposición </w:t>
      </w:r>
      <w:r w:rsidR="00A10161" w:rsidRPr="006D390D">
        <w:rPr>
          <w:rFonts w:cs="Calibri"/>
        </w:rPr>
        <w:t>contra la liquidación ahora impugnada</w:t>
      </w:r>
      <w:r w:rsidR="003013A8" w:rsidRPr="006D390D">
        <w:rPr>
          <w:rFonts w:cs="Calibri"/>
        </w:rPr>
        <w:t>.</w:t>
      </w:r>
    </w:p>
    <w:p w14:paraId="381E2115" w14:textId="77777777" w:rsidR="002F3C65" w:rsidRPr="006D390D" w:rsidRDefault="002F3C65" w:rsidP="002F3C65">
      <w:pPr>
        <w:pStyle w:val="Prrafodelista"/>
        <w:jc w:val="both"/>
        <w:rPr>
          <w:rFonts w:cs="Calibri"/>
        </w:rPr>
      </w:pPr>
    </w:p>
    <w:p w14:paraId="3C7E984D" w14:textId="3422132A" w:rsidR="009B6470" w:rsidRPr="006D390D" w:rsidRDefault="00140BCC" w:rsidP="00140BCC">
      <w:pPr>
        <w:jc w:val="center"/>
        <w:rPr>
          <w:rFonts w:cs="Calibri"/>
          <w:b/>
          <w:bCs/>
          <w:sz w:val="28"/>
          <w:szCs w:val="28"/>
        </w:rPr>
      </w:pPr>
      <w:r w:rsidRPr="006D390D">
        <w:rPr>
          <w:rFonts w:cs="Calibri"/>
          <w:b/>
          <w:bCs/>
          <w:sz w:val="28"/>
          <w:szCs w:val="28"/>
        </w:rPr>
        <w:t>ALEGACIONES</w:t>
      </w:r>
    </w:p>
    <w:p w14:paraId="7458F296" w14:textId="02C257B3" w:rsidR="00097C6C" w:rsidRPr="006D390D" w:rsidRDefault="00140BCC" w:rsidP="00140BCC">
      <w:pPr>
        <w:jc w:val="both"/>
        <w:rPr>
          <w:rFonts w:cs="Calibri"/>
        </w:rPr>
      </w:pPr>
      <w:r w:rsidRPr="006D390D">
        <w:rPr>
          <w:rFonts w:cs="Calibri"/>
          <w:b/>
          <w:bCs/>
        </w:rPr>
        <w:t>PRIMERA.</w:t>
      </w:r>
      <w:r w:rsidR="006377B6" w:rsidRPr="006D390D">
        <w:rPr>
          <w:rFonts w:cs="Calibri"/>
          <w:b/>
          <w:bCs/>
        </w:rPr>
        <w:t xml:space="preserve"> ILEGALIDAD DE LA ORDENANZA FISCAL QUE FUNDAMENTA LA LIQUIDACIÓN IMPUGNADA</w:t>
      </w:r>
      <w:r w:rsidR="006377B6" w:rsidRPr="006D390D">
        <w:rPr>
          <w:rFonts w:cs="Calibri"/>
        </w:rPr>
        <w:t>.</w:t>
      </w:r>
      <w:r w:rsidR="00C251B7" w:rsidRPr="006D390D">
        <w:rPr>
          <w:rFonts w:cs="Calibri"/>
        </w:rPr>
        <w:t xml:space="preserve"> La liquidación impugnada </w:t>
      </w:r>
      <w:r w:rsidR="00A066A2" w:rsidRPr="006D390D">
        <w:rPr>
          <w:rFonts w:cs="Calibri"/>
        </w:rPr>
        <w:t xml:space="preserve">se </w:t>
      </w:r>
      <w:r w:rsidR="000C0DB5" w:rsidRPr="006D390D">
        <w:rPr>
          <w:rFonts w:cs="Calibri"/>
        </w:rPr>
        <w:t xml:space="preserve">fundamenta en la ordenanza fiscal </w:t>
      </w:r>
      <w:r w:rsidR="00611E9E" w:rsidRPr="006D390D">
        <w:rPr>
          <w:rFonts w:cs="Calibri"/>
        </w:rPr>
        <w:t>8/2024, de 23 de diciembre (publicada en el BOCAM de 27 de diciembre de 2024</w:t>
      </w:r>
      <w:r w:rsidR="001D6E4D" w:rsidRPr="006D390D">
        <w:rPr>
          <w:rFonts w:cs="Calibri"/>
        </w:rPr>
        <w:t>, en adelante la “OF”</w:t>
      </w:r>
      <w:r w:rsidR="00611E9E" w:rsidRPr="006D390D">
        <w:rPr>
          <w:rFonts w:cs="Calibri"/>
        </w:rPr>
        <w:t xml:space="preserve">), que a su vez </w:t>
      </w:r>
      <w:r w:rsidR="00AD1447" w:rsidRPr="006D390D">
        <w:rPr>
          <w:rFonts w:cs="Calibri"/>
        </w:rPr>
        <w:t xml:space="preserve">fue aprobada con fundamento en la </w:t>
      </w:r>
      <w:r w:rsidR="00097C6C" w:rsidRPr="006D390D">
        <w:rPr>
          <w:rFonts w:cs="Calibri"/>
        </w:rPr>
        <w:t>Ley 7/2022, de 8 de abril, de residuos y suelos contaminados para una economía circular.</w:t>
      </w:r>
    </w:p>
    <w:p w14:paraId="52E18843" w14:textId="77777777" w:rsidR="00F30D60" w:rsidRPr="006D390D" w:rsidRDefault="00097C6C" w:rsidP="00140BCC">
      <w:pPr>
        <w:jc w:val="both"/>
        <w:rPr>
          <w:rFonts w:cs="Calibri"/>
        </w:rPr>
      </w:pPr>
      <w:r w:rsidRPr="006D390D">
        <w:rPr>
          <w:rFonts w:cs="Calibri"/>
        </w:rPr>
        <w:t xml:space="preserve">Pero lo cierto es que </w:t>
      </w:r>
      <w:r w:rsidR="00931645" w:rsidRPr="006D390D">
        <w:rPr>
          <w:rFonts w:cs="Calibri"/>
        </w:rPr>
        <w:t xml:space="preserve">la ordenanza fiscal vulnera </w:t>
      </w:r>
      <w:r w:rsidR="00916702" w:rsidRPr="006D390D">
        <w:rPr>
          <w:rFonts w:cs="Calibri"/>
        </w:rPr>
        <w:t xml:space="preserve">el mandato contenido en la Ley 7/2022 y, también, </w:t>
      </w:r>
      <w:r w:rsidR="003075C6" w:rsidRPr="006D390D">
        <w:rPr>
          <w:rFonts w:cs="Calibri"/>
        </w:rPr>
        <w:t>algunos de los principios generales de ordenación de las tasas</w:t>
      </w:r>
      <w:r w:rsidR="00916702" w:rsidRPr="006D390D">
        <w:rPr>
          <w:rFonts w:cs="Calibri"/>
        </w:rPr>
        <w:t xml:space="preserve">, por lo que adolece </w:t>
      </w:r>
      <w:r w:rsidR="00916702" w:rsidRPr="006D390D">
        <w:rPr>
          <w:rFonts w:cs="Calibri"/>
        </w:rPr>
        <w:lastRenderedPageBreak/>
        <w:t xml:space="preserve">de vicios jurídicos relevantes que determinan su </w:t>
      </w:r>
      <w:r w:rsidR="0081471F" w:rsidRPr="006D390D">
        <w:rPr>
          <w:rFonts w:cs="Calibri"/>
        </w:rPr>
        <w:t xml:space="preserve">anulabilidad, </w:t>
      </w:r>
      <w:r w:rsidR="00F30D60" w:rsidRPr="006D390D">
        <w:rPr>
          <w:rFonts w:cs="Calibri"/>
        </w:rPr>
        <w:t>lo que inexorablemente conlleva la nulidad de los actos de aplicación.</w:t>
      </w:r>
    </w:p>
    <w:p w14:paraId="17FD8DBD" w14:textId="6FC8971B" w:rsidR="003013A8" w:rsidRPr="006D390D" w:rsidRDefault="00E30A11" w:rsidP="00140BCC">
      <w:pPr>
        <w:jc w:val="both"/>
        <w:rPr>
          <w:rFonts w:cs="Calibri"/>
        </w:rPr>
      </w:pPr>
      <w:r w:rsidRPr="006D390D">
        <w:rPr>
          <w:rFonts w:cs="Calibri"/>
        </w:rPr>
        <w:t>Al ser varios los vicios de</w:t>
      </w:r>
      <w:r w:rsidR="00CD3F2E" w:rsidRPr="006D390D">
        <w:rPr>
          <w:rFonts w:cs="Calibri"/>
        </w:rPr>
        <w:t xml:space="preserve">nunciados, pasamos a exponerlos en alegaciones independientes para facilitar su comprensión y </w:t>
      </w:r>
      <w:r w:rsidR="0031374A" w:rsidRPr="006D390D">
        <w:rPr>
          <w:rFonts w:cs="Calibri"/>
        </w:rPr>
        <w:t>enjuiciamiento</w:t>
      </w:r>
      <w:r w:rsidR="00CD3F2E" w:rsidRPr="006D390D">
        <w:rPr>
          <w:rFonts w:cs="Calibri"/>
        </w:rPr>
        <w:t>.</w:t>
      </w:r>
    </w:p>
    <w:p w14:paraId="75C6A0A0" w14:textId="77777777" w:rsidR="00F30D60" w:rsidRPr="006D390D" w:rsidRDefault="00F30D60" w:rsidP="00140BCC">
      <w:pPr>
        <w:jc w:val="both"/>
        <w:rPr>
          <w:rFonts w:cs="Calibri"/>
        </w:rPr>
      </w:pPr>
    </w:p>
    <w:p w14:paraId="5AF31F38" w14:textId="5A4BC79E" w:rsidR="003E1CDA" w:rsidRPr="006D390D" w:rsidRDefault="00250268" w:rsidP="00140BCC">
      <w:pPr>
        <w:jc w:val="both"/>
        <w:rPr>
          <w:rFonts w:cs="Calibri"/>
        </w:rPr>
      </w:pPr>
      <w:r w:rsidRPr="006D390D">
        <w:rPr>
          <w:rFonts w:cs="Calibri"/>
          <w:b/>
          <w:bCs/>
        </w:rPr>
        <w:t xml:space="preserve">SEGUNDA. </w:t>
      </w:r>
      <w:r w:rsidR="003917D6" w:rsidRPr="006D390D">
        <w:rPr>
          <w:rFonts w:cs="Calibri"/>
          <w:b/>
          <w:bCs/>
        </w:rPr>
        <w:t xml:space="preserve">ILEGALIDAD DE LA ORDENANZA FISCAL </w:t>
      </w:r>
      <w:r w:rsidR="00AC462C" w:rsidRPr="006D390D">
        <w:rPr>
          <w:rFonts w:cs="Calibri"/>
          <w:b/>
          <w:bCs/>
        </w:rPr>
        <w:t>POR NO INCLUIR TODOS LOS ELEMENTOS DE CUANTIFICACIÓN DEL TRIBUTO</w:t>
      </w:r>
      <w:r w:rsidR="00DE5E5B" w:rsidRPr="006D390D">
        <w:rPr>
          <w:rFonts w:cs="Calibri"/>
          <w:b/>
          <w:bCs/>
        </w:rPr>
        <w:t>.</w:t>
      </w:r>
      <w:r w:rsidR="00D04814" w:rsidRPr="006D390D">
        <w:rPr>
          <w:rFonts w:cs="Calibri"/>
        </w:rPr>
        <w:t xml:space="preserve"> </w:t>
      </w:r>
      <w:r w:rsidR="00DE5E5B" w:rsidRPr="006D390D">
        <w:rPr>
          <w:rFonts w:cs="Calibri"/>
        </w:rPr>
        <w:t>El artículo 16 de</w:t>
      </w:r>
      <w:r w:rsidR="003F3FE3" w:rsidRPr="006D390D">
        <w:rPr>
          <w:rFonts w:cs="Calibri"/>
        </w:rPr>
        <w:t>l Texto Refundido de la Ley Reguladora de las Haciendas Locales (TRLRHL)</w:t>
      </w:r>
      <w:r w:rsidR="009A4B4F" w:rsidRPr="006D390D">
        <w:rPr>
          <w:rFonts w:cs="Calibri"/>
        </w:rPr>
        <w:t xml:space="preserve"> exige que las ordenanzas fiscales regulen todos los elementos de cuantificación del tributo</w:t>
      </w:r>
      <w:r w:rsidR="00543F44" w:rsidRPr="006D390D">
        <w:rPr>
          <w:rFonts w:cs="Calibri"/>
        </w:rPr>
        <w:t xml:space="preserve">, y </w:t>
      </w:r>
      <w:r w:rsidR="0031374A" w:rsidRPr="006D390D">
        <w:rPr>
          <w:rFonts w:cs="Calibri"/>
        </w:rPr>
        <w:t>el Tribunal Supremo ha establecido en una reiterada jurisprudencia (</w:t>
      </w:r>
      <w:r w:rsidR="00EA1D4B" w:rsidRPr="006D390D">
        <w:rPr>
          <w:rFonts w:cs="Calibri"/>
        </w:rPr>
        <w:t xml:space="preserve">paradigmáticamente la </w:t>
      </w:r>
      <w:r w:rsidR="0031374A" w:rsidRPr="006D390D">
        <w:rPr>
          <w:rFonts w:cs="Calibri"/>
        </w:rPr>
        <w:t xml:space="preserve">referida a la tasa de vados de Madrid) que </w:t>
      </w:r>
      <w:r w:rsidR="00E05389" w:rsidRPr="006D390D">
        <w:rPr>
          <w:rFonts w:cs="Calibri"/>
        </w:rPr>
        <w:t>resulta jurídicamente exigible que TODOS los elementos de cuantificación se recojan en la ordenanza fiscal, sin que resulte admisible la remisión de alguno de ellos al informe técnico-económico</w:t>
      </w:r>
      <w:r w:rsidR="00D25A6C" w:rsidRPr="006D390D">
        <w:rPr>
          <w:rFonts w:cs="Calibri"/>
        </w:rPr>
        <w:t xml:space="preserve"> (ITE)</w:t>
      </w:r>
      <w:r w:rsidR="00E05389" w:rsidRPr="006D390D">
        <w:rPr>
          <w:rFonts w:cs="Calibri"/>
        </w:rPr>
        <w:t>.</w:t>
      </w:r>
    </w:p>
    <w:p w14:paraId="2759E508" w14:textId="157DFE64" w:rsidR="008028B4" w:rsidRPr="006D390D" w:rsidRDefault="004C4C37" w:rsidP="00140BCC">
      <w:pPr>
        <w:jc w:val="both"/>
        <w:rPr>
          <w:rFonts w:cs="Calibri"/>
        </w:rPr>
      </w:pPr>
      <w:r w:rsidRPr="006D390D">
        <w:rPr>
          <w:rFonts w:cs="Calibri"/>
        </w:rPr>
        <w:t>Sin embargo, la OF</w:t>
      </w:r>
      <w:r w:rsidR="005C1239" w:rsidRPr="006D390D">
        <w:rPr>
          <w:rFonts w:cs="Calibri"/>
        </w:rPr>
        <w:t xml:space="preserve"> no contiene todos los elementos de cuantificación de la tasa, contraviniendo abiertamente ese mandato legal.</w:t>
      </w:r>
      <w:r w:rsidR="00245A4E" w:rsidRPr="006D390D">
        <w:rPr>
          <w:rFonts w:cs="Calibri"/>
        </w:rPr>
        <w:t xml:space="preserve"> </w:t>
      </w:r>
      <w:r w:rsidR="002B59F4" w:rsidRPr="006D390D">
        <w:rPr>
          <w:rFonts w:cs="Calibri"/>
        </w:rPr>
        <w:t xml:space="preserve">Esa omisión de datos esenciales para la cuantificación de la tasa se aprecia, en concreto, en relación con </w:t>
      </w:r>
      <w:r w:rsidR="008028B4" w:rsidRPr="006D390D">
        <w:rPr>
          <w:rFonts w:cs="Calibri"/>
        </w:rPr>
        <w:t xml:space="preserve">distintos </w:t>
      </w:r>
      <w:r w:rsidR="002B59F4" w:rsidRPr="006D390D">
        <w:rPr>
          <w:rFonts w:cs="Calibri"/>
        </w:rPr>
        <w:t>parámetros</w:t>
      </w:r>
      <w:r w:rsidR="00554956" w:rsidRPr="006D390D">
        <w:rPr>
          <w:rFonts w:cs="Calibri"/>
        </w:rPr>
        <w:t xml:space="preserve"> necesarios para cuantificar </w:t>
      </w:r>
      <w:r w:rsidR="005D6295" w:rsidRPr="006D390D">
        <w:rPr>
          <w:rFonts w:cs="Calibri"/>
        </w:rPr>
        <w:t>la llamada “tarifa por generación”</w:t>
      </w:r>
      <w:r w:rsidR="008028B4" w:rsidRPr="006D390D">
        <w:rPr>
          <w:rFonts w:cs="Calibri"/>
        </w:rPr>
        <w:t>.</w:t>
      </w:r>
    </w:p>
    <w:p w14:paraId="7AA4F792" w14:textId="56B399F1" w:rsidR="004C4C37" w:rsidRPr="006D390D" w:rsidRDefault="008028B4" w:rsidP="00140BCC">
      <w:pPr>
        <w:jc w:val="both"/>
        <w:rPr>
          <w:rFonts w:cs="Calibri"/>
        </w:rPr>
      </w:pPr>
      <w:r w:rsidRPr="006D390D">
        <w:rPr>
          <w:rFonts w:cs="Calibri"/>
        </w:rPr>
        <w:t xml:space="preserve">En </w:t>
      </w:r>
      <w:r w:rsidR="00015781" w:rsidRPr="006D390D">
        <w:rPr>
          <w:rFonts w:cs="Calibri"/>
        </w:rPr>
        <w:t xml:space="preserve">efecto, en </w:t>
      </w:r>
      <w:r w:rsidRPr="006D390D">
        <w:rPr>
          <w:rFonts w:cs="Calibri"/>
        </w:rPr>
        <w:t>relación con la “tarifa</w:t>
      </w:r>
      <w:r w:rsidR="009750A0" w:rsidRPr="006D390D">
        <w:rPr>
          <w:rFonts w:cs="Calibri"/>
        </w:rPr>
        <w:t xml:space="preserve"> </w:t>
      </w:r>
      <w:r w:rsidRPr="006D390D">
        <w:rPr>
          <w:rFonts w:cs="Calibri"/>
        </w:rPr>
        <w:t>por generación</w:t>
      </w:r>
      <w:r w:rsidR="009750A0" w:rsidRPr="006D390D">
        <w:rPr>
          <w:rFonts w:cs="Calibri"/>
        </w:rPr>
        <w:t>”</w:t>
      </w:r>
      <w:r w:rsidRPr="006D390D">
        <w:rPr>
          <w:rFonts w:cs="Calibri"/>
        </w:rPr>
        <w:t xml:space="preserve"> </w:t>
      </w:r>
      <w:r w:rsidR="009750A0" w:rsidRPr="006D390D">
        <w:rPr>
          <w:rFonts w:cs="Calibri"/>
        </w:rPr>
        <w:t>de inmuebles de uso residencial, la OF no incluye los siguientes datos imprescin</w:t>
      </w:r>
      <w:r w:rsidR="0086474E" w:rsidRPr="006D390D">
        <w:rPr>
          <w:rFonts w:cs="Calibri"/>
        </w:rPr>
        <w:t>dibles para su cuantificación</w:t>
      </w:r>
      <w:r w:rsidR="002B59F4" w:rsidRPr="006D390D">
        <w:rPr>
          <w:rFonts w:cs="Calibri"/>
        </w:rPr>
        <w:t>:</w:t>
      </w:r>
    </w:p>
    <w:p w14:paraId="15896FE7" w14:textId="7C3D9399" w:rsidR="002B59F4" w:rsidRPr="006D390D" w:rsidRDefault="0086474E" w:rsidP="002B59F4">
      <w:pPr>
        <w:pStyle w:val="Prrafodelista"/>
        <w:numPr>
          <w:ilvl w:val="0"/>
          <w:numId w:val="3"/>
        </w:numPr>
        <w:jc w:val="both"/>
        <w:rPr>
          <w:rFonts w:cs="Calibri"/>
        </w:rPr>
      </w:pPr>
      <w:r w:rsidRPr="006D390D">
        <w:rPr>
          <w:rFonts w:cs="Calibri"/>
          <w:b/>
          <w:bCs/>
        </w:rPr>
        <w:t>N</w:t>
      </w:r>
      <w:r w:rsidR="009E3532" w:rsidRPr="006D390D">
        <w:rPr>
          <w:rFonts w:cs="Calibri"/>
          <w:b/>
          <w:bCs/>
        </w:rPr>
        <w:t>úmero de empadronados</w:t>
      </w:r>
      <w:r w:rsidR="009E3532" w:rsidRPr="006D390D">
        <w:rPr>
          <w:rFonts w:cs="Calibri"/>
        </w:rPr>
        <w:t>.</w:t>
      </w:r>
      <w:r w:rsidR="00131CDC" w:rsidRPr="006D390D">
        <w:rPr>
          <w:rFonts w:cs="Calibri"/>
        </w:rPr>
        <w:t xml:space="preserve"> La tasa</w:t>
      </w:r>
      <w:r w:rsidR="00E408C9" w:rsidRPr="006D390D">
        <w:rPr>
          <w:rFonts w:cs="Calibri"/>
        </w:rPr>
        <w:t xml:space="preserve"> parece cuantificare en función del número de empadronados en cada vivienda, lo que sería lógico</w:t>
      </w:r>
      <w:r w:rsidR="00155969" w:rsidRPr="006D390D">
        <w:rPr>
          <w:rFonts w:cs="Calibri"/>
        </w:rPr>
        <w:t>, p</w:t>
      </w:r>
      <w:r w:rsidR="00E408C9" w:rsidRPr="006D390D">
        <w:rPr>
          <w:rFonts w:cs="Calibri"/>
        </w:rPr>
        <w:t xml:space="preserve">ero por </w:t>
      </w:r>
      <w:r w:rsidRPr="006D390D">
        <w:rPr>
          <w:rFonts w:cs="Calibri"/>
        </w:rPr>
        <w:t>motivos desconocidos</w:t>
      </w:r>
      <w:r w:rsidR="00E408C9" w:rsidRPr="006D390D">
        <w:rPr>
          <w:rFonts w:cs="Calibri"/>
        </w:rPr>
        <w:t xml:space="preserve"> no utiliza el dato concreto referido a cada vivienda</w:t>
      </w:r>
      <w:r w:rsidR="00F36FCA" w:rsidRPr="006D390D">
        <w:rPr>
          <w:rFonts w:cs="Calibri"/>
        </w:rPr>
        <w:t xml:space="preserve"> (que es un dato que obra en su poder) sino el promedio de empadronados en cada </w:t>
      </w:r>
      <w:r w:rsidR="00F07B0B" w:rsidRPr="006D390D">
        <w:rPr>
          <w:rFonts w:cs="Calibri"/>
        </w:rPr>
        <w:t>barrio de Madrid</w:t>
      </w:r>
      <w:r w:rsidR="00913F85" w:rsidRPr="006D390D">
        <w:rPr>
          <w:rFonts w:cs="Calibri"/>
        </w:rPr>
        <w:t xml:space="preserve">. Pero ese dato, esencial para la liquidación del tributo, </w:t>
      </w:r>
      <w:r w:rsidR="002B4E5F" w:rsidRPr="006D390D">
        <w:rPr>
          <w:rFonts w:cs="Calibri"/>
        </w:rPr>
        <w:t xml:space="preserve">no se incluye en la OF, sino que aparece </w:t>
      </w:r>
      <w:r w:rsidR="004C14C4" w:rsidRPr="006D390D">
        <w:rPr>
          <w:rFonts w:cs="Calibri"/>
        </w:rPr>
        <w:t xml:space="preserve">recogido </w:t>
      </w:r>
      <w:r w:rsidR="002B4E5F" w:rsidRPr="006D390D">
        <w:rPr>
          <w:rFonts w:cs="Calibri"/>
        </w:rPr>
        <w:t xml:space="preserve">en el </w:t>
      </w:r>
      <w:r w:rsidR="00D25A6C" w:rsidRPr="006D390D">
        <w:rPr>
          <w:rFonts w:cs="Calibri"/>
        </w:rPr>
        <w:t>Anexo 3 del ITE</w:t>
      </w:r>
      <w:r w:rsidR="00987B13" w:rsidRPr="006D390D">
        <w:rPr>
          <w:rFonts w:cs="Calibri"/>
        </w:rPr>
        <w:t>.</w:t>
      </w:r>
    </w:p>
    <w:p w14:paraId="7DB4294F" w14:textId="77777777" w:rsidR="00A00173" w:rsidRPr="006D390D" w:rsidRDefault="00A00173" w:rsidP="00A00173">
      <w:pPr>
        <w:pStyle w:val="Prrafodelista"/>
        <w:jc w:val="both"/>
        <w:rPr>
          <w:rFonts w:cs="Calibri"/>
        </w:rPr>
      </w:pPr>
    </w:p>
    <w:p w14:paraId="0B015B2D" w14:textId="5B20A805" w:rsidR="009E3532" w:rsidRPr="006D390D" w:rsidRDefault="00B01FE3" w:rsidP="002B59F4">
      <w:pPr>
        <w:pStyle w:val="Prrafodelista"/>
        <w:numPr>
          <w:ilvl w:val="0"/>
          <w:numId w:val="3"/>
        </w:numPr>
        <w:jc w:val="both"/>
        <w:rPr>
          <w:rFonts w:cs="Calibri"/>
        </w:rPr>
      </w:pPr>
      <w:r w:rsidRPr="006D390D">
        <w:rPr>
          <w:rFonts w:cs="Calibri"/>
          <w:b/>
          <w:bCs/>
        </w:rPr>
        <w:t xml:space="preserve">Número de residuos generados por persona, </w:t>
      </w:r>
      <w:r w:rsidR="00ED145C" w:rsidRPr="006D390D">
        <w:rPr>
          <w:rFonts w:cs="Calibri"/>
          <w:b/>
          <w:bCs/>
        </w:rPr>
        <w:t>año y barrio</w:t>
      </w:r>
      <w:r w:rsidR="00ED145C" w:rsidRPr="006D390D">
        <w:rPr>
          <w:rFonts w:cs="Calibri"/>
        </w:rPr>
        <w:t xml:space="preserve">. También es un dato esencial para cuantificar la “tarifa por generación”, pero no se recoge expresamente en la OF, sino que </w:t>
      </w:r>
      <w:r w:rsidR="00FC35B3" w:rsidRPr="006D390D">
        <w:rPr>
          <w:rFonts w:cs="Calibri"/>
        </w:rPr>
        <w:t xml:space="preserve">se </w:t>
      </w:r>
      <w:r w:rsidR="00D746E7" w:rsidRPr="006D390D">
        <w:rPr>
          <w:rFonts w:cs="Calibri"/>
        </w:rPr>
        <w:t>incluye</w:t>
      </w:r>
      <w:r w:rsidR="00FC35B3" w:rsidRPr="006D390D">
        <w:rPr>
          <w:rFonts w:cs="Calibri"/>
        </w:rPr>
        <w:t xml:space="preserve"> en el </w:t>
      </w:r>
      <w:r w:rsidR="000B628E" w:rsidRPr="006D390D">
        <w:rPr>
          <w:rFonts w:cs="Calibri"/>
        </w:rPr>
        <w:t>Anexo 12 del ITE.</w:t>
      </w:r>
    </w:p>
    <w:p w14:paraId="6D175115" w14:textId="77777777" w:rsidR="00A00173" w:rsidRPr="006D390D" w:rsidRDefault="00A00173" w:rsidP="00A00173">
      <w:pPr>
        <w:pStyle w:val="Prrafodelista"/>
        <w:jc w:val="both"/>
        <w:rPr>
          <w:rFonts w:cs="Calibri"/>
        </w:rPr>
      </w:pPr>
    </w:p>
    <w:p w14:paraId="3C7ED5B6" w14:textId="6C898F58" w:rsidR="002E75A3" w:rsidRPr="006D390D" w:rsidRDefault="001133B4" w:rsidP="002B59F4">
      <w:pPr>
        <w:pStyle w:val="Prrafodelista"/>
        <w:numPr>
          <w:ilvl w:val="0"/>
          <w:numId w:val="3"/>
        </w:numPr>
        <w:jc w:val="both"/>
        <w:rPr>
          <w:rFonts w:cs="Calibri"/>
        </w:rPr>
      </w:pPr>
      <w:r w:rsidRPr="006D390D">
        <w:rPr>
          <w:rFonts w:cs="Calibri"/>
          <w:b/>
          <w:bCs/>
        </w:rPr>
        <w:t>Porcentaje de residuos separados correctamente</w:t>
      </w:r>
      <w:r w:rsidRPr="006D390D">
        <w:rPr>
          <w:rFonts w:cs="Calibri"/>
        </w:rPr>
        <w:t xml:space="preserve">. </w:t>
      </w:r>
      <w:r w:rsidR="00D74871" w:rsidRPr="006D390D">
        <w:rPr>
          <w:rFonts w:cs="Calibri"/>
        </w:rPr>
        <w:t>Ese dato sí aparece recogido en la OF, en su Anexo A.3</w:t>
      </w:r>
      <w:r w:rsidR="00A82EC1" w:rsidRPr="006D390D">
        <w:rPr>
          <w:rFonts w:cs="Calibri"/>
        </w:rPr>
        <w:t xml:space="preserve">, pero lo cierto es que para su aplicación es necesario </w:t>
      </w:r>
      <w:r w:rsidR="00A82EC1" w:rsidRPr="006D390D">
        <w:rPr>
          <w:rFonts w:cs="Calibri"/>
          <w:lang w:val="es-ES_tradnl"/>
        </w:rPr>
        <w:t xml:space="preserve">conocer </w:t>
      </w:r>
      <w:r w:rsidR="00D746E7" w:rsidRPr="006D390D">
        <w:rPr>
          <w:rFonts w:cs="Calibri"/>
          <w:lang w:val="es-ES_tradnl"/>
        </w:rPr>
        <w:t>otro</w:t>
      </w:r>
      <w:r w:rsidR="00A82EC1" w:rsidRPr="006D390D">
        <w:rPr>
          <w:rFonts w:cs="Calibri"/>
          <w:lang w:val="es-ES_tradnl"/>
        </w:rPr>
        <w:t xml:space="preserve"> dato referido al porcentaje de residuos separados correctamente por cada vecino o cada barrio, que tampoco está incluido en la ordenanza</w:t>
      </w:r>
      <w:r w:rsidR="00DE5AF8" w:rsidRPr="006D390D">
        <w:rPr>
          <w:rFonts w:cs="Calibri"/>
          <w:lang w:val="es-ES_tradnl"/>
        </w:rPr>
        <w:t xml:space="preserve">, sino en el </w:t>
      </w:r>
      <w:r w:rsidR="00960193" w:rsidRPr="006D390D">
        <w:rPr>
          <w:rFonts w:cs="Calibri"/>
          <w:lang w:val="es-ES_tradnl"/>
        </w:rPr>
        <w:t>Anexo 5 del ITE.</w:t>
      </w:r>
    </w:p>
    <w:p w14:paraId="6970CCBB" w14:textId="516383B5" w:rsidR="0039748B" w:rsidRPr="006D390D" w:rsidRDefault="00960193" w:rsidP="0039748B">
      <w:pPr>
        <w:jc w:val="both"/>
        <w:rPr>
          <w:rFonts w:cs="Calibri"/>
        </w:rPr>
      </w:pPr>
      <w:r w:rsidRPr="006D390D">
        <w:rPr>
          <w:rFonts w:cs="Calibri"/>
        </w:rPr>
        <w:t>Algo parecido sucede con la “tarifa por generación</w:t>
      </w:r>
      <w:r w:rsidR="00515E96" w:rsidRPr="006D390D">
        <w:rPr>
          <w:rFonts w:cs="Calibri"/>
        </w:rPr>
        <w:t xml:space="preserve">” de inmuebles de uso no residencial, </w:t>
      </w:r>
      <w:r w:rsidR="000A68E5" w:rsidRPr="006D390D">
        <w:rPr>
          <w:rFonts w:cs="Calibri"/>
        </w:rPr>
        <w:t xml:space="preserve">cuya cuantificación debe realizarse (según el art. 11.2 de la OF) </w:t>
      </w:r>
      <w:r w:rsidR="0039748B" w:rsidRPr="006D390D">
        <w:rPr>
          <w:rFonts w:cs="Calibri"/>
          <w:lang w:val="es-ES_tradnl"/>
        </w:rPr>
        <w:t>en función de “</w:t>
      </w:r>
      <w:r w:rsidR="0039748B" w:rsidRPr="006D390D">
        <w:rPr>
          <w:rFonts w:cs="Calibri"/>
          <w:i/>
          <w:iCs/>
        </w:rPr>
        <w:t>las toneladas de residuos que se hubieran generado por dicho uso catastral en la zona homogénea a la que pertenece el distrito en el que se ubica el inmueble”</w:t>
      </w:r>
      <w:r w:rsidR="0039748B" w:rsidRPr="006D390D">
        <w:rPr>
          <w:rFonts w:cs="Calibri"/>
        </w:rPr>
        <w:t>. Pero ese dato no se incluye en la ordenanza reguladora de la tasa, sino en el Anexo 11 del ITE (págs. 93 y 94)</w:t>
      </w:r>
      <w:r w:rsidR="0016005A" w:rsidRPr="006D390D">
        <w:rPr>
          <w:rFonts w:cs="Calibri"/>
        </w:rPr>
        <w:t>.</w:t>
      </w:r>
    </w:p>
    <w:p w14:paraId="19DD3DA2" w14:textId="2C4C98CF" w:rsidR="00960193" w:rsidRPr="006D390D" w:rsidRDefault="00D2795C" w:rsidP="000D0E5C">
      <w:pPr>
        <w:jc w:val="both"/>
        <w:rPr>
          <w:rFonts w:cs="Calibri"/>
        </w:rPr>
      </w:pPr>
      <w:r w:rsidRPr="006D390D">
        <w:rPr>
          <w:rFonts w:cs="Calibri"/>
        </w:rPr>
        <w:t xml:space="preserve">Esa omisión </w:t>
      </w:r>
      <w:r w:rsidR="002C4DA5" w:rsidRPr="006D390D">
        <w:rPr>
          <w:rFonts w:cs="Calibri"/>
        </w:rPr>
        <w:t xml:space="preserve">de datos esenciales para la liquidación del tributo </w:t>
      </w:r>
      <w:r w:rsidRPr="006D390D">
        <w:rPr>
          <w:rFonts w:cs="Calibri"/>
        </w:rPr>
        <w:t>es determinante de la ilegalidad de la tasa impugnada por</w:t>
      </w:r>
      <w:r w:rsidR="00D55E30" w:rsidRPr="006D390D">
        <w:rPr>
          <w:rFonts w:cs="Calibri"/>
        </w:rPr>
        <w:t xml:space="preserve"> suponer una contravención abierta del </w:t>
      </w:r>
      <w:r w:rsidRPr="006D390D">
        <w:rPr>
          <w:rFonts w:cs="Calibri"/>
        </w:rPr>
        <w:t xml:space="preserve">mandato </w:t>
      </w:r>
      <w:r w:rsidRPr="006D390D">
        <w:rPr>
          <w:rFonts w:cs="Calibri"/>
        </w:rPr>
        <w:lastRenderedPageBreak/>
        <w:t xml:space="preserve">contenido en el artículo 16 del TRLRHL, y </w:t>
      </w:r>
      <w:r w:rsidR="006076BE" w:rsidRPr="006D390D">
        <w:rPr>
          <w:rFonts w:cs="Calibri"/>
        </w:rPr>
        <w:t xml:space="preserve">porque sitúa al contribuyente en una clara posición de indefensión, en tanto que no puede </w:t>
      </w:r>
      <w:r w:rsidR="006E0C57" w:rsidRPr="006D390D">
        <w:rPr>
          <w:rFonts w:cs="Calibri"/>
        </w:rPr>
        <w:t xml:space="preserve">contrastar la recta aplicación de los criterios de </w:t>
      </w:r>
      <w:r w:rsidR="009E1CBD" w:rsidRPr="006D390D">
        <w:rPr>
          <w:rFonts w:cs="Calibri"/>
        </w:rPr>
        <w:t xml:space="preserve">cuantificación de la tasa al no contenerse en </w:t>
      </w:r>
      <w:r w:rsidR="00250268" w:rsidRPr="006D390D">
        <w:rPr>
          <w:rFonts w:cs="Calibri"/>
        </w:rPr>
        <w:t>la</w:t>
      </w:r>
      <w:r w:rsidR="009E1CBD" w:rsidRPr="006D390D">
        <w:rPr>
          <w:rFonts w:cs="Calibri"/>
        </w:rPr>
        <w:t xml:space="preserve"> disposición general </w:t>
      </w:r>
      <w:r w:rsidR="00250268" w:rsidRPr="006D390D">
        <w:rPr>
          <w:rFonts w:cs="Calibri"/>
        </w:rPr>
        <w:t>aplicada</w:t>
      </w:r>
      <w:r w:rsidR="009E1CBD" w:rsidRPr="006D390D">
        <w:rPr>
          <w:rFonts w:cs="Calibri"/>
        </w:rPr>
        <w:t>.</w:t>
      </w:r>
    </w:p>
    <w:p w14:paraId="28CF5DAF" w14:textId="77777777" w:rsidR="009E1CBD" w:rsidRPr="006D390D" w:rsidRDefault="009E1CBD" w:rsidP="000D0E5C">
      <w:pPr>
        <w:jc w:val="both"/>
        <w:rPr>
          <w:rFonts w:cs="Calibri"/>
        </w:rPr>
      </w:pPr>
    </w:p>
    <w:p w14:paraId="0CF5689A" w14:textId="3A763FFA" w:rsidR="00E56D9D" w:rsidRPr="006D390D" w:rsidRDefault="00250268" w:rsidP="00E56D9D">
      <w:pPr>
        <w:jc w:val="both"/>
        <w:rPr>
          <w:rFonts w:cs="Calibri"/>
        </w:rPr>
      </w:pPr>
      <w:r w:rsidRPr="006D390D">
        <w:rPr>
          <w:rFonts w:cs="Calibri"/>
          <w:b/>
          <w:bCs/>
        </w:rPr>
        <w:t xml:space="preserve">TERCERA. </w:t>
      </w:r>
      <w:r w:rsidR="00E56D9D" w:rsidRPr="006D390D">
        <w:rPr>
          <w:rFonts w:cs="Calibri"/>
          <w:b/>
          <w:bCs/>
        </w:rPr>
        <w:t>ILEGALIDAD DE LA ORDENANZA FISCAL POR NO</w:t>
      </w:r>
      <w:r w:rsidR="000D3217" w:rsidRPr="006D390D">
        <w:rPr>
          <w:rFonts w:cs="Calibri"/>
          <w:b/>
          <w:bCs/>
        </w:rPr>
        <w:t xml:space="preserve"> DISTRIBUIR LOS COSTES EN FUNCIÓN DE LA GENERACIÓN DE RESIDUOS, COMO EXIGE LA LEY 7/2022</w:t>
      </w:r>
      <w:r w:rsidR="00E56D9D" w:rsidRPr="006D390D">
        <w:rPr>
          <w:rFonts w:cs="Calibri"/>
          <w:b/>
          <w:bCs/>
        </w:rPr>
        <w:t>.</w:t>
      </w:r>
      <w:r w:rsidR="00E56D9D" w:rsidRPr="006D390D">
        <w:rPr>
          <w:rFonts w:cs="Calibri"/>
        </w:rPr>
        <w:t xml:space="preserve"> </w:t>
      </w:r>
      <w:r w:rsidR="00BF681F" w:rsidRPr="006D390D">
        <w:rPr>
          <w:rFonts w:cs="Calibri"/>
        </w:rPr>
        <w:t>El artículo 11 de l</w:t>
      </w:r>
      <w:r w:rsidR="007108AF" w:rsidRPr="006D390D">
        <w:rPr>
          <w:rFonts w:cs="Calibri"/>
        </w:rPr>
        <w:t>a Ley 7/2022 establece un nuevo marco jurídico para el establecimiento de la tasa de residuos, en tanto que exige que la tasa sea no deficitaria, y exige la aplicación del principio pago por generación respecto de cada actividad individualmente considerada</w:t>
      </w:r>
      <w:r w:rsidR="00BF681F" w:rsidRPr="006D390D">
        <w:rPr>
          <w:rFonts w:cs="Calibri"/>
        </w:rPr>
        <w:t>.</w:t>
      </w:r>
    </w:p>
    <w:p w14:paraId="48019E0E" w14:textId="012936FE" w:rsidR="009E1CBD" w:rsidRPr="006D390D" w:rsidRDefault="00BF681F" w:rsidP="000D0E5C">
      <w:pPr>
        <w:jc w:val="both"/>
        <w:rPr>
          <w:rFonts w:cs="Calibri"/>
        </w:rPr>
      </w:pPr>
      <w:r w:rsidRPr="006D390D">
        <w:rPr>
          <w:rFonts w:cs="Calibri"/>
        </w:rPr>
        <w:t xml:space="preserve">Sin embargo, </w:t>
      </w:r>
      <w:r w:rsidR="0052277A" w:rsidRPr="006D390D">
        <w:rPr>
          <w:rFonts w:cs="Calibri"/>
        </w:rPr>
        <w:t xml:space="preserve">la OF realiza </w:t>
      </w:r>
      <w:r w:rsidR="0045775A" w:rsidRPr="006D390D">
        <w:rPr>
          <w:rFonts w:cs="Calibri"/>
        </w:rPr>
        <w:t>una distribución de costes</w:t>
      </w:r>
      <w:r w:rsidR="00012B87" w:rsidRPr="006D390D">
        <w:rPr>
          <w:rFonts w:cs="Calibri"/>
        </w:rPr>
        <w:t xml:space="preserve"> entre los destinatarios del servicio que apenas toma en consideración la generación de residuos, porque distribuye </w:t>
      </w:r>
      <w:r w:rsidR="0045775A" w:rsidRPr="006D390D">
        <w:rPr>
          <w:rFonts w:cs="Calibri"/>
        </w:rPr>
        <w:t>más del 8</w:t>
      </w:r>
      <w:r w:rsidR="00B07193" w:rsidRPr="006D390D">
        <w:rPr>
          <w:rFonts w:cs="Calibri"/>
        </w:rPr>
        <w:t>2</w:t>
      </w:r>
      <w:r w:rsidR="0045775A" w:rsidRPr="006D390D">
        <w:rPr>
          <w:rFonts w:cs="Calibri"/>
        </w:rPr>
        <w:t>% de los costes en función del valor catastral, y el 1</w:t>
      </w:r>
      <w:r w:rsidR="0048116F" w:rsidRPr="006D390D">
        <w:rPr>
          <w:rFonts w:cs="Calibri"/>
        </w:rPr>
        <w:t>8</w:t>
      </w:r>
      <w:r w:rsidR="0045775A" w:rsidRPr="006D390D">
        <w:rPr>
          <w:rFonts w:cs="Calibri"/>
        </w:rPr>
        <w:t>% restante en función de la generación de residuos</w:t>
      </w:r>
      <w:r w:rsidR="00880C73" w:rsidRPr="006D390D">
        <w:rPr>
          <w:rFonts w:cs="Calibri"/>
        </w:rPr>
        <w:t xml:space="preserve">, tal y como se </w:t>
      </w:r>
      <w:r w:rsidR="0052277A" w:rsidRPr="006D390D">
        <w:rPr>
          <w:rFonts w:cs="Calibri"/>
        </w:rPr>
        <w:t xml:space="preserve">desprende de la información contenida en las </w:t>
      </w:r>
      <w:r w:rsidR="00B07193" w:rsidRPr="006D390D">
        <w:rPr>
          <w:rFonts w:cs="Calibri"/>
        </w:rPr>
        <w:t xml:space="preserve">páginas 54, 56 y </w:t>
      </w:r>
      <w:r w:rsidR="00EA2B6C" w:rsidRPr="006D390D">
        <w:rPr>
          <w:rFonts w:cs="Calibri"/>
        </w:rPr>
        <w:t>64 del ITE.</w:t>
      </w:r>
    </w:p>
    <w:p w14:paraId="5A8223D6" w14:textId="49EC95AE" w:rsidR="00B05413" w:rsidRPr="006D390D" w:rsidRDefault="0052277A" w:rsidP="00E62B2D">
      <w:pPr>
        <w:jc w:val="both"/>
        <w:rPr>
          <w:rFonts w:cs="Calibri"/>
          <w:lang w:val="es-ES_tradnl"/>
        </w:rPr>
      </w:pPr>
      <w:r w:rsidRPr="006D390D">
        <w:rPr>
          <w:rFonts w:cs="Calibri"/>
        </w:rPr>
        <w:t xml:space="preserve">Por tanto, </w:t>
      </w:r>
      <w:r w:rsidR="00E62B2D" w:rsidRPr="006D390D">
        <w:rPr>
          <w:rFonts w:cs="Calibri"/>
        </w:rPr>
        <w:t>es evidente que la ordenanza fiscal impugnada no cumple con “</w:t>
      </w:r>
      <w:r w:rsidR="00E62B2D" w:rsidRPr="006D390D">
        <w:rPr>
          <w:rFonts w:cs="Calibri"/>
          <w:i/>
          <w:iCs/>
          <w:lang w:val="es-ES_tradnl"/>
        </w:rPr>
        <w:t>las nuevas exigencias introducidas a través de la Directiva 2018/851 y de la Ley 7/2022 en lo que atañe a la determinación previa del volumen de residuos generados -por generación- respecto de cada actividad individualmente considerada”,</w:t>
      </w:r>
      <w:r w:rsidR="00E62B2D" w:rsidRPr="006D390D">
        <w:rPr>
          <w:rFonts w:cs="Calibri"/>
          <w:lang w:val="es-ES_tradnl"/>
        </w:rPr>
        <w:t xml:space="preserve"> como reclama la normativa citada y recordaba la STS de 13 de mayo de 2024</w:t>
      </w:r>
      <w:r w:rsidR="004B6294" w:rsidRPr="006D390D">
        <w:rPr>
          <w:rFonts w:cs="Calibri"/>
          <w:lang w:val="es-ES_tradnl"/>
        </w:rPr>
        <w:t xml:space="preserve"> (ECLI:ES:TS:2024:2668)</w:t>
      </w:r>
      <w:r w:rsidR="007952D2" w:rsidRPr="006D390D">
        <w:rPr>
          <w:rFonts w:cs="Calibri"/>
          <w:lang w:val="es-ES_tradnl"/>
        </w:rPr>
        <w:t>.</w:t>
      </w:r>
    </w:p>
    <w:p w14:paraId="261C3F66" w14:textId="42FF3030" w:rsidR="00E62B2D" w:rsidRPr="006D390D" w:rsidRDefault="00B05413" w:rsidP="00515D91">
      <w:pPr>
        <w:jc w:val="both"/>
        <w:rPr>
          <w:rFonts w:cs="Calibri"/>
          <w:lang w:val="es-ES_tradnl"/>
        </w:rPr>
      </w:pPr>
      <w:r w:rsidRPr="006D390D">
        <w:rPr>
          <w:rFonts w:cs="Calibri"/>
          <w:lang w:val="es-ES_tradnl"/>
        </w:rPr>
        <w:t>L</w:t>
      </w:r>
      <w:r w:rsidR="007952D2" w:rsidRPr="006D390D">
        <w:rPr>
          <w:rFonts w:cs="Calibri"/>
          <w:lang w:val="es-ES_tradnl"/>
        </w:rPr>
        <w:t>a tasa</w:t>
      </w:r>
      <w:r w:rsidRPr="006D390D">
        <w:rPr>
          <w:rFonts w:cs="Calibri"/>
          <w:lang w:val="es-ES_tradnl"/>
        </w:rPr>
        <w:t xml:space="preserve">, </w:t>
      </w:r>
      <w:r w:rsidR="00AE2CC8" w:rsidRPr="006D390D">
        <w:rPr>
          <w:rFonts w:cs="Calibri"/>
          <w:lang w:val="es-ES_tradnl"/>
        </w:rPr>
        <w:t xml:space="preserve">al distribuir </w:t>
      </w:r>
      <w:r w:rsidRPr="006D390D">
        <w:rPr>
          <w:rFonts w:cs="Calibri"/>
          <w:lang w:val="es-ES_tradnl"/>
        </w:rPr>
        <w:t>el 82% del coste de gestión de residuos en función del valor catastral del inmueble afectado,</w:t>
      </w:r>
      <w:r w:rsidR="005B78C7" w:rsidRPr="006D390D">
        <w:rPr>
          <w:rFonts w:cs="Calibri"/>
          <w:lang w:val="es-ES_tradnl"/>
        </w:rPr>
        <w:t xml:space="preserve"> además de vulnerar el mandato contenido en la Ley 7/2022, aplica </w:t>
      </w:r>
      <w:r w:rsidR="00C676C1" w:rsidRPr="006D390D">
        <w:rPr>
          <w:rFonts w:cs="Calibri"/>
          <w:lang w:val="es-ES_tradnl"/>
        </w:rPr>
        <w:t>un criterio de cuantificación prácticamente coincidente con el establecido en el Impuesto sobre Bienes Inmuebles</w:t>
      </w:r>
      <w:r w:rsidR="009F68E0" w:rsidRPr="006D390D">
        <w:rPr>
          <w:rFonts w:cs="Calibri"/>
          <w:lang w:val="es-ES_tradnl"/>
        </w:rPr>
        <w:t>, lo que resulta claramente contrario a lo exigido por la normativa citada.</w:t>
      </w:r>
    </w:p>
    <w:p w14:paraId="15EA7C1F" w14:textId="6FC43AD6" w:rsidR="00471BE9" w:rsidRPr="006D390D" w:rsidRDefault="009173B4" w:rsidP="00515D91">
      <w:pPr>
        <w:jc w:val="both"/>
        <w:rPr>
          <w:rFonts w:cs="Calibri"/>
          <w:lang w:val="es-ES_tradnl"/>
        </w:rPr>
      </w:pPr>
      <w:r w:rsidRPr="006D390D">
        <w:rPr>
          <w:rFonts w:cs="Calibri"/>
          <w:lang w:val="es-ES_tradnl"/>
        </w:rPr>
        <w:t xml:space="preserve">Pero la contravención no solo se refiere </w:t>
      </w:r>
      <w:r w:rsidR="00583F40" w:rsidRPr="006D390D">
        <w:rPr>
          <w:rFonts w:cs="Calibri"/>
          <w:lang w:val="es-ES_tradnl"/>
        </w:rPr>
        <w:t xml:space="preserve">al hecho de que el 82% de los costes del servicio se distribuyan en función de criterios ajenos a lo dispuesto en la Ley 7/2022, porque también </w:t>
      </w:r>
      <w:r w:rsidR="000F00C3" w:rsidRPr="006D390D">
        <w:rPr>
          <w:rFonts w:cs="Calibri"/>
          <w:lang w:val="es-ES_tradnl"/>
        </w:rPr>
        <w:t xml:space="preserve">hemos constatado </w:t>
      </w:r>
      <w:r w:rsidR="00583F40" w:rsidRPr="006D390D">
        <w:rPr>
          <w:rFonts w:cs="Calibri"/>
          <w:lang w:val="es-ES_tradnl"/>
        </w:rPr>
        <w:t xml:space="preserve">que </w:t>
      </w:r>
      <w:r w:rsidR="00351E85" w:rsidRPr="006D390D">
        <w:rPr>
          <w:rFonts w:cs="Calibri"/>
          <w:lang w:val="es-ES_tradnl"/>
        </w:rPr>
        <w:t xml:space="preserve">la llamada “tarifa por generación”, mediante la que se distribuye </w:t>
      </w:r>
      <w:r w:rsidR="00583F40" w:rsidRPr="006D390D">
        <w:rPr>
          <w:rFonts w:cs="Calibri"/>
          <w:lang w:val="es-ES_tradnl"/>
        </w:rPr>
        <w:t xml:space="preserve">el 18% </w:t>
      </w:r>
      <w:r w:rsidR="00471BE9" w:rsidRPr="006D390D">
        <w:rPr>
          <w:rFonts w:cs="Calibri"/>
          <w:lang w:val="es-ES_tradnl"/>
        </w:rPr>
        <w:t xml:space="preserve">de </w:t>
      </w:r>
      <w:r w:rsidR="00727171" w:rsidRPr="006D390D">
        <w:rPr>
          <w:rFonts w:cs="Calibri"/>
          <w:lang w:val="es-ES_tradnl"/>
        </w:rPr>
        <w:t xml:space="preserve">los </w:t>
      </w:r>
      <w:r w:rsidR="00471BE9" w:rsidRPr="006D390D">
        <w:rPr>
          <w:rFonts w:cs="Calibri"/>
          <w:lang w:val="es-ES_tradnl"/>
        </w:rPr>
        <w:t xml:space="preserve">costes, </w:t>
      </w:r>
      <w:r w:rsidR="00583F40" w:rsidRPr="006D390D">
        <w:rPr>
          <w:rFonts w:cs="Calibri"/>
          <w:lang w:val="es-ES_tradnl"/>
        </w:rPr>
        <w:t>tampoco toma en consideración debidamente la generación de residuos de los contribuyentes</w:t>
      </w:r>
      <w:r w:rsidR="00471BE9" w:rsidRPr="006D390D">
        <w:rPr>
          <w:rFonts w:cs="Calibri"/>
          <w:lang w:val="es-ES_tradnl"/>
        </w:rPr>
        <w:t>.</w:t>
      </w:r>
    </w:p>
    <w:p w14:paraId="4DEDCA19" w14:textId="191DB31A" w:rsidR="009173B4" w:rsidRPr="002B5EAD" w:rsidRDefault="00471BE9" w:rsidP="00515D91">
      <w:pPr>
        <w:jc w:val="both"/>
        <w:rPr>
          <w:rFonts w:cs="Calibri"/>
          <w:lang w:val="es-ES_tradnl"/>
        </w:rPr>
      </w:pPr>
      <w:r w:rsidRPr="002B5EAD">
        <w:rPr>
          <w:rFonts w:cs="Calibri"/>
          <w:lang w:val="es-ES_tradnl"/>
        </w:rPr>
        <w:t>En efecto, las reglas de cuantificación de la “tarifa por generación” en inmuebles de uso resid</w:t>
      </w:r>
      <w:r w:rsidR="00C563CF" w:rsidRPr="002B5EAD">
        <w:rPr>
          <w:rFonts w:cs="Calibri"/>
          <w:lang w:val="es-ES_tradnl"/>
        </w:rPr>
        <w:t>encial vulneran el mandato legal de distribuir los costes en función de la generación de residuos por los siguientes motivos</w:t>
      </w:r>
    </w:p>
    <w:p w14:paraId="077E1161" w14:textId="5A3D2433" w:rsidR="00D4560B" w:rsidRPr="002B5EAD" w:rsidRDefault="00B4023F" w:rsidP="00515D91">
      <w:pPr>
        <w:pStyle w:val="Prrafodelista"/>
        <w:numPr>
          <w:ilvl w:val="0"/>
          <w:numId w:val="5"/>
        </w:numPr>
        <w:jc w:val="both"/>
        <w:rPr>
          <w:rFonts w:cs="Calibri"/>
        </w:rPr>
      </w:pPr>
      <w:r w:rsidRPr="002B5EAD">
        <w:rPr>
          <w:rFonts w:cs="Calibri"/>
          <w:b/>
          <w:bCs/>
          <w:lang w:val="es-ES_tradnl"/>
        </w:rPr>
        <w:t xml:space="preserve">Por desconsiderar el número de personas </w:t>
      </w:r>
      <w:r w:rsidR="00946FE6" w:rsidRPr="002B5EAD">
        <w:rPr>
          <w:rFonts w:cs="Calibri"/>
          <w:b/>
          <w:bCs/>
          <w:lang w:val="es-ES_tradnl"/>
        </w:rPr>
        <w:t>que viven en cada inmueble</w:t>
      </w:r>
      <w:r w:rsidR="00946FE6" w:rsidRPr="002B5EAD">
        <w:rPr>
          <w:rFonts w:cs="Calibri"/>
          <w:lang w:val="es-ES_tradnl"/>
        </w:rPr>
        <w:t>.</w:t>
      </w:r>
      <w:r w:rsidR="00D4560B" w:rsidRPr="002B5EAD">
        <w:rPr>
          <w:rFonts w:cs="Calibri"/>
          <w:lang w:val="es-ES_tradnl"/>
        </w:rPr>
        <w:t xml:space="preserve"> </w:t>
      </w:r>
      <w:r w:rsidR="00D4560B" w:rsidRPr="002B5EAD">
        <w:rPr>
          <w:rFonts w:cs="Calibri"/>
        </w:rPr>
        <w:t>El artículo 10 de la OF establece los criterios de determinación de la “tarifa por generación” y, en una primera lectura, parece establece</w:t>
      </w:r>
      <w:r w:rsidR="003129EF" w:rsidRPr="002B5EAD">
        <w:rPr>
          <w:rFonts w:cs="Calibri"/>
        </w:rPr>
        <w:t>r</w:t>
      </w:r>
      <w:r w:rsidR="00D4560B" w:rsidRPr="002B5EAD">
        <w:rPr>
          <w:rFonts w:cs="Calibri"/>
        </w:rPr>
        <w:t xml:space="preserve"> una graduación de cuotas en función de los residuos generados por cada contribuyente, porque se dice que la tarifa por generación se determina “</w:t>
      </w:r>
      <w:r w:rsidR="00D4560B" w:rsidRPr="002B5EAD">
        <w:rPr>
          <w:rFonts w:cs="Calibri"/>
          <w:i/>
          <w:iCs/>
        </w:rPr>
        <w:t>en función de la cantidad de residuos generados, por persona y año, medida en kilos, en el barrio en el que se ubica, de acuerdo con lo dispuesto en el Anexo A.2</w:t>
      </w:r>
      <w:r w:rsidR="00D4560B" w:rsidRPr="002B5EAD">
        <w:rPr>
          <w:rFonts w:cs="Calibri"/>
        </w:rPr>
        <w:t>”, y a dicha magnitud se le aplicará el denominado “coeficiente de calidad”, que “</w:t>
      </w:r>
      <w:r w:rsidR="00D4560B" w:rsidRPr="002B5EAD">
        <w:rPr>
          <w:rFonts w:cs="Calibri"/>
          <w:i/>
          <w:iCs/>
        </w:rPr>
        <w:t>será el que corresponda, según el barrio en el que se ubique el inmueble, de los establecidos en el Anexo A.3”</w:t>
      </w:r>
      <w:r w:rsidR="00D4560B" w:rsidRPr="002B5EAD">
        <w:rPr>
          <w:rFonts w:cs="Calibri"/>
        </w:rPr>
        <w:t>.</w:t>
      </w:r>
    </w:p>
    <w:p w14:paraId="66484F15" w14:textId="77777777" w:rsidR="002D5C23" w:rsidRPr="002B5EAD" w:rsidRDefault="002D5C23" w:rsidP="00515D91">
      <w:pPr>
        <w:pStyle w:val="Prrafodelista"/>
        <w:jc w:val="both"/>
        <w:rPr>
          <w:rFonts w:cs="Calibri"/>
        </w:rPr>
      </w:pPr>
    </w:p>
    <w:p w14:paraId="20021FBC" w14:textId="6F46BEFF" w:rsidR="00D4560B" w:rsidRPr="002B5EAD" w:rsidRDefault="00D4560B" w:rsidP="00515D91">
      <w:pPr>
        <w:pStyle w:val="Prrafodelista"/>
        <w:jc w:val="both"/>
        <w:rPr>
          <w:rFonts w:cs="Calibri"/>
        </w:rPr>
      </w:pPr>
      <w:r w:rsidRPr="002B5EAD">
        <w:rPr>
          <w:rFonts w:cs="Calibri"/>
        </w:rPr>
        <w:lastRenderedPageBreak/>
        <w:t>Pero lo cierto es que esos dos criterios de cuantificación de la tarifa por generación están preestablecidos en el ITE por referencia a los barrios o distritos</w:t>
      </w:r>
      <w:r w:rsidR="00D62DB7" w:rsidRPr="002B5EAD">
        <w:rPr>
          <w:rFonts w:cs="Calibri"/>
        </w:rPr>
        <w:t xml:space="preserve"> de Madrid</w:t>
      </w:r>
      <w:r w:rsidRPr="002B5EAD">
        <w:rPr>
          <w:rFonts w:cs="Calibri"/>
        </w:rPr>
        <w:t xml:space="preserve">, por lo que resulta totalmente irrelevante el número </w:t>
      </w:r>
      <w:r w:rsidR="00D62DB7" w:rsidRPr="002B5EAD">
        <w:rPr>
          <w:rFonts w:cs="Calibri"/>
        </w:rPr>
        <w:t xml:space="preserve">real </w:t>
      </w:r>
      <w:r w:rsidRPr="002B5EAD">
        <w:rPr>
          <w:rFonts w:cs="Calibri"/>
        </w:rPr>
        <w:t xml:space="preserve">de empadronados en cada vivienda, </w:t>
      </w:r>
      <w:r w:rsidR="00F1078D" w:rsidRPr="002B5EAD">
        <w:rPr>
          <w:rFonts w:cs="Calibri"/>
        </w:rPr>
        <w:t xml:space="preserve">así como también resulta irrelevante </w:t>
      </w:r>
      <w:r w:rsidRPr="002B5EAD">
        <w:rPr>
          <w:rFonts w:cs="Calibri"/>
        </w:rPr>
        <w:t>el volumen de residuos generado por cada inmueble, y el compromiso del contribuyente por discriminar los residuos.</w:t>
      </w:r>
    </w:p>
    <w:p w14:paraId="49A020FC" w14:textId="77777777" w:rsidR="002D5C23" w:rsidRPr="002B5EAD" w:rsidRDefault="002D5C23" w:rsidP="00515D91">
      <w:pPr>
        <w:pStyle w:val="Prrafodelista"/>
        <w:jc w:val="both"/>
        <w:rPr>
          <w:rFonts w:cs="Calibri"/>
        </w:rPr>
      </w:pPr>
    </w:p>
    <w:p w14:paraId="5FF9324F" w14:textId="20D4F7DF" w:rsidR="0000392F" w:rsidRPr="002B5EAD" w:rsidRDefault="0000392F" w:rsidP="00515D91">
      <w:pPr>
        <w:pStyle w:val="Prrafodelista"/>
        <w:jc w:val="both"/>
        <w:rPr>
          <w:rFonts w:cs="Calibri"/>
        </w:rPr>
      </w:pPr>
      <w:r w:rsidRPr="002B5EAD">
        <w:rPr>
          <w:rFonts w:cs="Calibri"/>
        </w:rPr>
        <w:t xml:space="preserve">En efecto, la </w:t>
      </w:r>
      <w:r w:rsidR="00CB363A" w:rsidRPr="002B5EAD">
        <w:rPr>
          <w:rFonts w:cs="Calibri"/>
        </w:rPr>
        <w:t xml:space="preserve">OF, en lugar de </w:t>
      </w:r>
      <w:r w:rsidRPr="002B5EAD">
        <w:rPr>
          <w:rFonts w:cs="Calibri"/>
        </w:rPr>
        <w:t>realizar una distribución individualizada en función de los residuos realmente generados en cada inmueble, lo que hace es distribuir el volumen total de residuos generados en un barrio entre el número total de empadronados en dicho barrio, y ello determina la cuota aplicable a cada vivienda de ese barrio.</w:t>
      </w:r>
    </w:p>
    <w:p w14:paraId="1F8C195E" w14:textId="77777777" w:rsidR="002D5C23" w:rsidRPr="002B5EAD" w:rsidRDefault="002D5C23" w:rsidP="00515D91">
      <w:pPr>
        <w:pStyle w:val="Prrafodelista"/>
        <w:jc w:val="both"/>
        <w:rPr>
          <w:rFonts w:cs="Calibri"/>
        </w:rPr>
      </w:pPr>
    </w:p>
    <w:p w14:paraId="3F826511" w14:textId="0BD4E854" w:rsidR="0000392F" w:rsidRPr="002B5EAD" w:rsidRDefault="0000392F" w:rsidP="00515D91">
      <w:pPr>
        <w:pStyle w:val="Prrafodelista"/>
        <w:jc w:val="both"/>
        <w:rPr>
          <w:rFonts w:cs="Calibri"/>
        </w:rPr>
      </w:pPr>
      <w:r w:rsidRPr="002B5EAD">
        <w:rPr>
          <w:rFonts w:cs="Calibri"/>
        </w:rPr>
        <w:t xml:space="preserve">Así se desprende de la </w:t>
      </w:r>
      <w:r w:rsidR="001E637B" w:rsidRPr="002B5EAD">
        <w:rPr>
          <w:rFonts w:cs="Calibri"/>
        </w:rPr>
        <w:t>parca</w:t>
      </w:r>
      <w:r w:rsidRPr="002B5EAD">
        <w:rPr>
          <w:rFonts w:cs="Calibri"/>
        </w:rPr>
        <w:t xml:space="preserve"> explicación contenida en la página 72 del ITE, en donde se dice </w:t>
      </w:r>
      <w:r w:rsidRPr="002B5EAD">
        <w:rPr>
          <w:rFonts w:cs="Calibri"/>
          <w:lang w:val="es-ES_tradnl"/>
        </w:rPr>
        <w:t>que “</w:t>
      </w:r>
      <w:r w:rsidRPr="002B5EAD">
        <w:rPr>
          <w:rFonts w:cs="Calibri"/>
          <w:i/>
          <w:iCs/>
        </w:rPr>
        <w:t>puesto que la información disponible se refiere a las toneladas generadas en cada barrio y al objeto de tener en cuenta el volumen de generación en la tarifa, se ha elaborado una clasificación de aquellos, ordenándolos de menor a mayor generación de residuos por persona empadronada, a cada uno de los cuales le correspondería una tarifa cuyo importe representa el coste variable de las toneladas generadas en el barrio por empadronado y por inmueble al año”</w:t>
      </w:r>
      <w:r w:rsidRPr="002B5EAD">
        <w:rPr>
          <w:rFonts w:cs="Calibri"/>
        </w:rPr>
        <w:t xml:space="preserve">. </w:t>
      </w:r>
    </w:p>
    <w:p w14:paraId="23CB1FB7" w14:textId="77777777" w:rsidR="002D5C23" w:rsidRPr="002B5EAD" w:rsidRDefault="002D5C23" w:rsidP="00515D91">
      <w:pPr>
        <w:pStyle w:val="Prrafodelista"/>
        <w:jc w:val="both"/>
        <w:rPr>
          <w:rFonts w:cs="Calibri"/>
        </w:rPr>
      </w:pPr>
    </w:p>
    <w:p w14:paraId="62CD5729" w14:textId="75CAFAEB" w:rsidR="003D0E6C" w:rsidRPr="002B5EAD" w:rsidRDefault="00D106B2" w:rsidP="00515D91">
      <w:pPr>
        <w:pStyle w:val="Prrafodelista"/>
        <w:jc w:val="both"/>
        <w:rPr>
          <w:rFonts w:cs="Calibri"/>
        </w:rPr>
      </w:pPr>
      <w:r w:rsidRPr="002B5EAD">
        <w:rPr>
          <w:rFonts w:cs="Calibri"/>
        </w:rPr>
        <w:t>Por tanto, el número de empadronados en cada vivienda no es relevante para determinar la cuota, porque pagará l</w:t>
      </w:r>
      <w:r w:rsidR="000E2D24" w:rsidRPr="002B5EAD">
        <w:rPr>
          <w:rFonts w:cs="Calibri"/>
        </w:rPr>
        <w:t xml:space="preserve">o mismo </w:t>
      </w:r>
      <w:r w:rsidRPr="002B5EAD">
        <w:rPr>
          <w:rFonts w:cs="Calibri"/>
        </w:rPr>
        <w:t>una vivienda con un único empadronado, que otra vivienda del mismo barrio con nueve personas empadronadas</w:t>
      </w:r>
      <w:r w:rsidR="00AD68E4" w:rsidRPr="002B5EAD">
        <w:rPr>
          <w:rFonts w:cs="Calibri"/>
        </w:rPr>
        <w:t xml:space="preserve">, porque </w:t>
      </w:r>
      <w:r w:rsidRPr="002B5EAD">
        <w:rPr>
          <w:rFonts w:cs="Calibri"/>
        </w:rPr>
        <w:t>a todos los inmuebles de un mismo barrio se les aplica la misma tarifa</w:t>
      </w:r>
      <w:r w:rsidR="00BC34EF" w:rsidRPr="002B5EAD">
        <w:rPr>
          <w:rFonts w:cs="Calibri"/>
        </w:rPr>
        <w:t xml:space="preserve"> porque tienen asignados el mismo número de empadronados</w:t>
      </w:r>
      <w:r w:rsidR="00051B47" w:rsidRPr="002B5EAD">
        <w:rPr>
          <w:rFonts w:cs="Calibri"/>
        </w:rPr>
        <w:t>.</w:t>
      </w:r>
    </w:p>
    <w:p w14:paraId="54DE97D8" w14:textId="0C883EB9" w:rsidR="00583F40" w:rsidRPr="002B5EAD" w:rsidRDefault="00583F40" w:rsidP="00515D91">
      <w:pPr>
        <w:pStyle w:val="Prrafodelista"/>
        <w:jc w:val="both"/>
        <w:rPr>
          <w:rFonts w:cs="Calibri"/>
          <w:lang w:val="es-ES_tradnl"/>
        </w:rPr>
      </w:pPr>
    </w:p>
    <w:p w14:paraId="1CDCDE0C" w14:textId="32138A3B" w:rsidR="00C63A28" w:rsidRPr="002B5EAD" w:rsidRDefault="00E92D5D" w:rsidP="00515D91">
      <w:pPr>
        <w:pStyle w:val="Prrafodelista"/>
        <w:numPr>
          <w:ilvl w:val="0"/>
          <w:numId w:val="5"/>
        </w:numPr>
        <w:jc w:val="both"/>
        <w:rPr>
          <w:rFonts w:cs="Calibri"/>
        </w:rPr>
      </w:pPr>
      <w:r w:rsidRPr="002B5EAD">
        <w:rPr>
          <w:rFonts w:cs="Calibri"/>
          <w:b/>
          <w:bCs/>
          <w:lang w:val="es-ES_tradnl"/>
        </w:rPr>
        <w:t xml:space="preserve">Por desconsiderar la actuación de cada contribuyente </w:t>
      </w:r>
      <w:r w:rsidR="005A0A81" w:rsidRPr="002B5EAD">
        <w:rPr>
          <w:rFonts w:cs="Calibri"/>
          <w:b/>
          <w:bCs/>
          <w:lang w:val="es-ES_tradnl"/>
        </w:rPr>
        <w:t>en la separación de residuos</w:t>
      </w:r>
      <w:r w:rsidR="00823EAD" w:rsidRPr="002B5EAD">
        <w:rPr>
          <w:rFonts w:cs="Calibri"/>
          <w:lang w:val="es-ES_tradnl"/>
        </w:rPr>
        <w:t xml:space="preserve">. </w:t>
      </w:r>
      <w:r w:rsidR="000F5BD6" w:rsidRPr="002B5EAD">
        <w:rPr>
          <w:rFonts w:cs="Calibri"/>
          <w:lang w:val="es-ES_tradnl"/>
        </w:rPr>
        <w:t xml:space="preserve">El artículo 10 de la OF establece este </w:t>
      </w:r>
      <w:r w:rsidR="00503CD5" w:rsidRPr="002B5EAD">
        <w:rPr>
          <w:rFonts w:cs="Calibri"/>
        </w:rPr>
        <w:t>segundo criterio de cuantificación de la “tarifa por generación”,</w:t>
      </w:r>
      <w:r w:rsidR="00C63A28" w:rsidRPr="002B5EAD">
        <w:rPr>
          <w:rFonts w:cs="Calibri"/>
        </w:rPr>
        <w:t xml:space="preserve"> pero</w:t>
      </w:r>
      <w:r w:rsidR="00F865DA" w:rsidRPr="002B5EAD">
        <w:rPr>
          <w:rFonts w:cs="Calibri"/>
        </w:rPr>
        <w:t xml:space="preserve"> </w:t>
      </w:r>
      <w:r w:rsidR="00503CD5" w:rsidRPr="002B5EAD">
        <w:rPr>
          <w:rFonts w:cs="Calibri"/>
        </w:rPr>
        <w:t>también está preestablecido en el ITE por referencia a los barrios o distritos y, por tanto, prescinde de la actuación individual del contribuyente.</w:t>
      </w:r>
    </w:p>
    <w:p w14:paraId="5C15BA78" w14:textId="77777777" w:rsidR="000C0837" w:rsidRPr="002B5EAD" w:rsidRDefault="000C0837" w:rsidP="00515D91">
      <w:pPr>
        <w:pStyle w:val="Prrafodelista"/>
        <w:jc w:val="both"/>
        <w:rPr>
          <w:rFonts w:cs="Calibri"/>
        </w:rPr>
      </w:pPr>
    </w:p>
    <w:p w14:paraId="36E4BA79" w14:textId="4B14127A" w:rsidR="00503CD5" w:rsidRPr="002B5EAD" w:rsidRDefault="00503CD5" w:rsidP="00515D91">
      <w:pPr>
        <w:pStyle w:val="Prrafodelista"/>
        <w:jc w:val="both"/>
        <w:rPr>
          <w:rFonts w:cs="Calibri"/>
        </w:rPr>
      </w:pPr>
      <w:r w:rsidRPr="002B5EAD">
        <w:rPr>
          <w:rFonts w:cs="Calibri"/>
        </w:rPr>
        <w:t>Por tanto, la actuación del contribuyente individualmente considerado es totalmente irrelevante para la cuantificación de la tasa, ya que todos los contribuyentes del mismo barrio pagarán la misma cuota con independencia de que realicen una separación de residuos ejemplar o, por el contrario, no realicen ninguna discriminación de residuos.</w:t>
      </w:r>
    </w:p>
    <w:p w14:paraId="7FD28E2B" w14:textId="77777777" w:rsidR="00503CD5" w:rsidRPr="002B5EAD" w:rsidRDefault="00503CD5" w:rsidP="00515D91">
      <w:pPr>
        <w:pStyle w:val="Prrafodelista"/>
        <w:jc w:val="both"/>
        <w:rPr>
          <w:rFonts w:cs="Calibri"/>
        </w:rPr>
      </w:pPr>
    </w:p>
    <w:p w14:paraId="4BA4FC22" w14:textId="6637C77E" w:rsidR="00503CD5" w:rsidRPr="006D390D" w:rsidRDefault="00503CD5" w:rsidP="00515D91">
      <w:pPr>
        <w:pStyle w:val="Prrafodelista"/>
        <w:jc w:val="both"/>
        <w:rPr>
          <w:rFonts w:cs="Calibri"/>
        </w:rPr>
      </w:pPr>
      <w:r w:rsidRPr="002B5EAD">
        <w:rPr>
          <w:rFonts w:cs="Calibri"/>
        </w:rPr>
        <w:t>Así se desprende de la explicación contenida en la página 73 del ITE, en la que ampulosamente se dice que “</w:t>
      </w:r>
      <w:r w:rsidRPr="002B5EAD">
        <w:rPr>
          <w:rFonts w:cs="Calibri"/>
          <w:i/>
          <w:iCs/>
        </w:rPr>
        <w:t xml:space="preserve">Con el fin de que los servicios municipales realicen un correcto control sobre los procesos de clasificación y recuperación, dentro del proceso de gestión de residuos implantado en el PTV se realizan caracterizaciones y análisis de residuos para conocer la composición y rechazos”. </w:t>
      </w:r>
      <w:r w:rsidRPr="002B5EAD">
        <w:rPr>
          <w:rFonts w:cs="Calibri"/>
        </w:rPr>
        <w:t>Pero inmediatamente después se dice que “</w:t>
      </w:r>
      <w:r w:rsidRPr="002B5EAD">
        <w:rPr>
          <w:rFonts w:cs="Calibri"/>
          <w:i/>
          <w:iCs/>
        </w:rPr>
        <w:t>En el Anexo 5</w:t>
      </w:r>
      <w:r w:rsidRPr="002B5EAD">
        <w:rPr>
          <w:rFonts w:cs="Calibri"/>
          <w:b/>
          <w:bCs/>
          <w:i/>
          <w:iCs/>
        </w:rPr>
        <w:t xml:space="preserve"> </w:t>
      </w:r>
      <w:r w:rsidRPr="002B5EAD">
        <w:rPr>
          <w:rFonts w:cs="Calibri"/>
          <w:i/>
          <w:iCs/>
        </w:rPr>
        <w:t>se recogen los resultados de las caracterizaciones</w:t>
      </w:r>
      <w:r w:rsidRPr="002B5EAD">
        <w:rPr>
          <w:rFonts w:cs="Calibri"/>
        </w:rPr>
        <w:t>”</w:t>
      </w:r>
      <w:r w:rsidRPr="002B5EAD">
        <w:rPr>
          <w:rFonts w:cs="Calibri"/>
          <w:i/>
          <w:iCs/>
        </w:rPr>
        <w:t>,</w:t>
      </w:r>
      <w:r w:rsidRPr="002B5EAD">
        <w:rPr>
          <w:rFonts w:cs="Calibri"/>
        </w:rPr>
        <w:t xml:space="preserve"> y como se advierte en dicho Anexo, el llamado “coeficiente de calidad” está preestablecido en el ITE en función de los distintos distritos de Madrid, lo que impide que una cuantificación </w:t>
      </w:r>
      <w:r w:rsidRPr="002B5EAD">
        <w:rPr>
          <w:rFonts w:cs="Calibri"/>
          <w:i/>
          <w:iCs/>
          <w:lang w:val="es-ES_tradnl"/>
        </w:rPr>
        <w:t xml:space="preserve">de cada actividad individualmente </w:t>
      </w:r>
      <w:r w:rsidRPr="002B5EAD">
        <w:rPr>
          <w:rFonts w:cs="Calibri"/>
          <w:i/>
          <w:iCs/>
          <w:lang w:val="es-ES_tradnl"/>
        </w:rPr>
        <w:lastRenderedPageBreak/>
        <w:t>considerada</w:t>
      </w:r>
      <w:r w:rsidRPr="002B5EAD">
        <w:rPr>
          <w:rFonts w:cs="Calibri"/>
          <w:lang w:val="es-ES_tradnl"/>
        </w:rPr>
        <w:t>, como exige la jurisprudencia del Tribunal Supremo anteriormente citada.</w:t>
      </w:r>
    </w:p>
    <w:p w14:paraId="2F058D4F" w14:textId="61B0DDCD" w:rsidR="009208D8" w:rsidRPr="006D390D" w:rsidRDefault="009208D8" w:rsidP="00515D91">
      <w:pPr>
        <w:jc w:val="both"/>
        <w:rPr>
          <w:rFonts w:cs="Calibri"/>
          <w:lang w:val="es-ES_tradnl"/>
        </w:rPr>
      </w:pPr>
      <w:r w:rsidRPr="006D390D">
        <w:rPr>
          <w:rFonts w:cs="Calibri"/>
          <w:lang w:val="es-ES_tradnl"/>
        </w:rPr>
        <w:t>Por otra parte, las reglas de cuantificación de la “tarifa por generación” en inmuebles de uso no residencial también vulneran el mandato legal de distribuir los costes en función de la generación de residuos por los siguientes motivos</w:t>
      </w:r>
      <w:r w:rsidR="00B005D5" w:rsidRPr="006D390D">
        <w:rPr>
          <w:rFonts w:cs="Calibri"/>
          <w:lang w:val="es-ES_tradnl"/>
        </w:rPr>
        <w:t>:</w:t>
      </w:r>
    </w:p>
    <w:p w14:paraId="0A83742A" w14:textId="26EE8DE6" w:rsidR="00C659FC" w:rsidRPr="006D390D" w:rsidRDefault="00791602" w:rsidP="00967556">
      <w:pPr>
        <w:pStyle w:val="Prrafodelista"/>
        <w:numPr>
          <w:ilvl w:val="0"/>
          <w:numId w:val="6"/>
        </w:numPr>
        <w:jc w:val="both"/>
        <w:rPr>
          <w:rFonts w:cs="Calibri"/>
          <w:lang w:val="es-ES_tradnl"/>
        </w:rPr>
      </w:pPr>
      <w:r w:rsidRPr="006D390D">
        <w:rPr>
          <w:rFonts w:cs="Calibri"/>
          <w:b/>
          <w:bCs/>
          <w:lang w:val="es-ES_tradnl"/>
        </w:rPr>
        <w:t>Por desconsiderar la generación de residuos realizada por cada contribuyente</w:t>
      </w:r>
      <w:r w:rsidRPr="006D390D">
        <w:rPr>
          <w:rFonts w:cs="Calibri"/>
          <w:lang w:val="es-ES_tradnl"/>
        </w:rPr>
        <w:t>.</w:t>
      </w:r>
      <w:r w:rsidR="00967556" w:rsidRPr="006D390D">
        <w:rPr>
          <w:rFonts w:cs="Calibri"/>
          <w:lang w:val="es-ES_tradnl"/>
        </w:rPr>
        <w:t xml:space="preserve"> Igual que antes, también aquí se desprecia el dato singularizado de la generación de residuos. Así se desprende de la lectura de la ordenanza y, sobre todo, de los datos contenidos en el Anexo 11 del ITE, en el que se recogen datos del volumen de residuos generados por los distintos inmuebles en función de la “zona homogénea”</w:t>
      </w:r>
      <w:r w:rsidR="00970488" w:rsidRPr="006D390D">
        <w:rPr>
          <w:rFonts w:cs="Calibri"/>
          <w:lang w:val="es-ES_tradnl"/>
        </w:rPr>
        <w:t xml:space="preserve">, y permite constatar que </w:t>
      </w:r>
      <w:r w:rsidR="00967556" w:rsidRPr="006D390D">
        <w:rPr>
          <w:rFonts w:cs="Calibri"/>
          <w:lang w:val="es-ES_tradnl"/>
        </w:rPr>
        <w:t>la “tarifa por generación” será la misma para</w:t>
      </w:r>
      <w:r w:rsidR="00C659FC" w:rsidRPr="006D390D">
        <w:rPr>
          <w:rFonts w:cs="Calibri"/>
          <w:lang w:val="es-ES_tradnl"/>
        </w:rPr>
        <w:t xml:space="preserve"> todos los contribuyentes de una misma “zona homogénea” (que</w:t>
      </w:r>
      <w:r w:rsidR="004C66EA" w:rsidRPr="006D390D">
        <w:rPr>
          <w:rFonts w:cs="Calibri"/>
          <w:lang w:val="es-ES_tradnl"/>
        </w:rPr>
        <w:t>, por otro lado, es una zona tan extensa que carece de homogeneidad</w:t>
      </w:r>
      <w:r w:rsidR="00C659FC" w:rsidRPr="006D390D">
        <w:rPr>
          <w:rFonts w:cs="Calibri"/>
          <w:lang w:val="es-ES_tradnl"/>
        </w:rPr>
        <w:t>).</w:t>
      </w:r>
    </w:p>
    <w:p w14:paraId="1DDF497D" w14:textId="77777777" w:rsidR="00C659FC" w:rsidRPr="006D390D" w:rsidRDefault="00C659FC" w:rsidP="00C659FC">
      <w:pPr>
        <w:pStyle w:val="Prrafodelista"/>
        <w:jc w:val="both"/>
        <w:rPr>
          <w:rFonts w:cs="Calibri"/>
          <w:lang w:val="es-ES_tradnl"/>
        </w:rPr>
      </w:pPr>
    </w:p>
    <w:p w14:paraId="262B3DB7" w14:textId="287AC502" w:rsidR="00967556" w:rsidRPr="006D390D" w:rsidRDefault="00C659FC" w:rsidP="00C659FC">
      <w:pPr>
        <w:pStyle w:val="Prrafodelista"/>
        <w:jc w:val="both"/>
        <w:rPr>
          <w:rFonts w:cs="Calibri"/>
          <w:lang w:val="es-ES_tradnl"/>
        </w:rPr>
      </w:pPr>
      <w:r w:rsidRPr="006D390D">
        <w:rPr>
          <w:rFonts w:cs="Calibri"/>
          <w:lang w:val="es-ES_tradnl"/>
        </w:rPr>
        <w:t>Ello significa que la cuota será la misma para un</w:t>
      </w:r>
      <w:r w:rsidR="00967556" w:rsidRPr="006D390D">
        <w:rPr>
          <w:rFonts w:cs="Calibri"/>
          <w:lang w:val="es-ES_tradnl"/>
        </w:rPr>
        <w:t xml:space="preserve"> contribuyente que abra su local un día a la semana y discrimine cuidadosamente los residuos generados, que para otro contribuyente que realice actividades empresariales los siete días de la semana y además no discrimine los residuos. Y ello, como es obvio, es totalmente ilógico y, además, antijurídico, porque vulnera lo dispuesto en la Ley 7/2022.</w:t>
      </w:r>
    </w:p>
    <w:p w14:paraId="63EB5A7D" w14:textId="77777777" w:rsidR="00967556" w:rsidRPr="006D390D" w:rsidRDefault="00967556" w:rsidP="00967556">
      <w:pPr>
        <w:pStyle w:val="Prrafodelista"/>
        <w:jc w:val="both"/>
        <w:rPr>
          <w:rFonts w:cs="Calibri"/>
          <w:lang w:val="es-ES_tradnl"/>
        </w:rPr>
      </w:pPr>
    </w:p>
    <w:p w14:paraId="63514738" w14:textId="56FB526A" w:rsidR="00A7023A" w:rsidRPr="006D390D" w:rsidRDefault="00967556" w:rsidP="00967556">
      <w:pPr>
        <w:pStyle w:val="Prrafodelista"/>
        <w:jc w:val="both"/>
        <w:rPr>
          <w:rFonts w:cs="Calibri"/>
          <w:lang w:val="es-ES_tradnl"/>
        </w:rPr>
      </w:pPr>
      <w:r w:rsidRPr="006D390D">
        <w:rPr>
          <w:rFonts w:cs="Calibri"/>
          <w:lang w:val="es-ES_tradnl"/>
        </w:rPr>
        <w:t>Lo mismo sucede con el “coeficiente de calidad”, que es el segundo criterio de cuantificación de la “tarifa por generación”, que también está preestablecido en el ITE por referencia a los barrios o distritos y, por tanto, prescinde de la actuación individual del contribuyente, en los términos explicados en el fundamento jurídico anterior.</w:t>
      </w:r>
    </w:p>
    <w:p w14:paraId="766966D6" w14:textId="77777777" w:rsidR="00FE266E" w:rsidRPr="006D390D" w:rsidRDefault="00FE266E" w:rsidP="00967556">
      <w:pPr>
        <w:pStyle w:val="Prrafodelista"/>
        <w:jc w:val="both"/>
        <w:rPr>
          <w:rFonts w:cs="Calibri"/>
          <w:lang w:val="es-ES_tradnl"/>
        </w:rPr>
      </w:pPr>
    </w:p>
    <w:p w14:paraId="5D4563B1" w14:textId="0FC8F743" w:rsidR="00791602" w:rsidRPr="006D390D" w:rsidRDefault="00791602" w:rsidP="001751B0">
      <w:pPr>
        <w:pStyle w:val="Prrafodelista"/>
        <w:numPr>
          <w:ilvl w:val="0"/>
          <w:numId w:val="6"/>
        </w:numPr>
        <w:jc w:val="both"/>
        <w:rPr>
          <w:rFonts w:cs="Calibri"/>
          <w:lang w:val="es-ES_tradnl"/>
        </w:rPr>
      </w:pPr>
      <w:r w:rsidRPr="006D390D">
        <w:rPr>
          <w:rFonts w:cs="Calibri"/>
          <w:b/>
          <w:bCs/>
          <w:lang w:val="es-ES_tradnl"/>
        </w:rPr>
        <w:t>Por dar el mismo trato a</w:t>
      </w:r>
      <w:r w:rsidR="0043193A" w:rsidRPr="006D390D">
        <w:rPr>
          <w:rFonts w:cs="Calibri"/>
          <w:b/>
          <w:bCs/>
          <w:lang w:val="es-ES_tradnl"/>
        </w:rPr>
        <w:t xml:space="preserve"> todas las actividades que tienen el mismo uso catastral, aunque resulte evidente que generan distinto nivel de residuos</w:t>
      </w:r>
      <w:r w:rsidR="0043193A" w:rsidRPr="006D390D">
        <w:rPr>
          <w:rFonts w:cs="Calibri"/>
          <w:lang w:val="es-ES_tradnl"/>
        </w:rPr>
        <w:t>.</w:t>
      </w:r>
      <w:r w:rsidR="00D57FEE" w:rsidRPr="006D390D">
        <w:rPr>
          <w:rFonts w:cs="Calibri"/>
          <w:lang w:val="es-ES_tradnl"/>
        </w:rPr>
        <w:t xml:space="preserve"> La lectura del artículo 11 de la OF revela que</w:t>
      </w:r>
      <w:r w:rsidR="0032551D" w:rsidRPr="006D390D">
        <w:rPr>
          <w:rFonts w:cs="Calibri"/>
          <w:lang w:val="es-ES_tradnl"/>
        </w:rPr>
        <w:t xml:space="preserve">, en el caso de inmuebles no residenciales, </w:t>
      </w:r>
      <w:r w:rsidR="00D57FEE" w:rsidRPr="006D390D">
        <w:rPr>
          <w:rFonts w:cs="Calibri"/>
          <w:lang w:val="es-ES_tradnl"/>
        </w:rPr>
        <w:t>tanto la tarifa básica como la tarifa por generación se determinan en función del “uso catastral</w:t>
      </w:r>
      <w:r w:rsidR="0032551D" w:rsidRPr="006D390D">
        <w:rPr>
          <w:rFonts w:cs="Calibri"/>
          <w:lang w:val="es-ES_tradnl"/>
        </w:rPr>
        <w:t>”.</w:t>
      </w:r>
    </w:p>
    <w:p w14:paraId="43EEF29B" w14:textId="77777777" w:rsidR="00875AB7" w:rsidRPr="006D390D" w:rsidRDefault="00875AB7" w:rsidP="00875AB7">
      <w:pPr>
        <w:pStyle w:val="Prrafodelista"/>
        <w:jc w:val="both"/>
        <w:rPr>
          <w:rFonts w:cs="Calibri"/>
          <w:lang w:val="es-ES_tradnl"/>
        </w:rPr>
      </w:pPr>
    </w:p>
    <w:p w14:paraId="1D5BE6FB" w14:textId="0C235E8D" w:rsidR="00875AB7" w:rsidRPr="006D390D" w:rsidRDefault="00875AB7" w:rsidP="00875AB7">
      <w:pPr>
        <w:pStyle w:val="Prrafodelista"/>
        <w:jc w:val="both"/>
        <w:rPr>
          <w:rFonts w:cs="Calibri"/>
          <w:lang w:val="es-ES_tradnl"/>
        </w:rPr>
      </w:pPr>
      <w:r w:rsidRPr="006D390D">
        <w:rPr>
          <w:rFonts w:cs="Calibri"/>
          <w:lang w:val="es-ES_tradnl"/>
        </w:rPr>
        <w:t>La regla sería razonable si los diferentes “usos catastrales” agruparan inmuebles similares, es decir, inmuebles con una capacidad similar de generación de residuos. Pero lo cierto es que no es así, porque esa clasificación fue realizada hace muchos años con la finalidad de agrupar inmuebles que tienen costes de construcción similares, por lo que es perfectamente posible que distintos inmuebles con un mismo “uso catastral” realicen actividades totalmente distintas en las que la capacidad de generación de residuos sea totalmente diferente.</w:t>
      </w:r>
    </w:p>
    <w:p w14:paraId="28C1E2A8" w14:textId="77777777" w:rsidR="00E50638" w:rsidRPr="006D390D" w:rsidRDefault="00E50638" w:rsidP="00875AB7">
      <w:pPr>
        <w:pStyle w:val="Prrafodelista"/>
        <w:jc w:val="both"/>
        <w:rPr>
          <w:rFonts w:cs="Calibri"/>
          <w:lang w:val="es-ES_tradnl"/>
        </w:rPr>
      </w:pPr>
    </w:p>
    <w:p w14:paraId="5E4EB43F" w14:textId="41746513" w:rsidR="00E50638" w:rsidRPr="006D390D" w:rsidRDefault="006A3A89" w:rsidP="00875AB7">
      <w:pPr>
        <w:pStyle w:val="Prrafodelista"/>
        <w:jc w:val="both"/>
        <w:rPr>
          <w:rFonts w:cs="Calibri"/>
          <w:lang w:val="es-ES_tradnl"/>
        </w:rPr>
      </w:pPr>
      <w:r w:rsidRPr="006D390D">
        <w:rPr>
          <w:rFonts w:cs="Calibri"/>
          <w:lang w:val="es-ES_tradnl"/>
        </w:rPr>
        <w:t>Así, p</w:t>
      </w:r>
      <w:r w:rsidR="001C3E3E" w:rsidRPr="006D390D">
        <w:rPr>
          <w:rFonts w:cs="Calibri"/>
          <w:lang w:val="es-ES_tradnl"/>
        </w:rPr>
        <w:t>or poner solo un ejemplo, pod</w:t>
      </w:r>
      <w:r w:rsidRPr="006D390D">
        <w:rPr>
          <w:rFonts w:cs="Calibri"/>
          <w:lang w:val="es-ES_tradnl"/>
        </w:rPr>
        <w:t xml:space="preserve">emos </w:t>
      </w:r>
      <w:r w:rsidR="001C3E3E" w:rsidRPr="006D390D">
        <w:rPr>
          <w:rFonts w:cs="Calibri"/>
          <w:lang w:val="es-ES_tradnl"/>
        </w:rPr>
        <w:t xml:space="preserve">destacar que en los inmuebles que tienen reconocido </w:t>
      </w:r>
      <w:r w:rsidR="00360327" w:rsidRPr="006D390D">
        <w:rPr>
          <w:rFonts w:cs="Calibri"/>
          <w:lang w:val="es-ES_tradnl"/>
        </w:rPr>
        <w:t>catastral de “</w:t>
      </w:r>
      <w:r w:rsidR="001C3E3E" w:rsidRPr="006D390D">
        <w:rPr>
          <w:rFonts w:cs="Calibri"/>
          <w:lang w:val="es-ES_tradnl"/>
        </w:rPr>
        <w:t>culturales y religiosos</w:t>
      </w:r>
      <w:r w:rsidR="00360327" w:rsidRPr="006D390D">
        <w:rPr>
          <w:rFonts w:cs="Calibri"/>
          <w:lang w:val="es-ES_tradnl"/>
        </w:rPr>
        <w:t>”</w:t>
      </w:r>
      <w:r w:rsidR="001C3E3E" w:rsidRPr="006D390D">
        <w:rPr>
          <w:rFonts w:cs="Calibri"/>
          <w:lang w:val="es-ES_tradnl"/>
        </w:rPr>
        <w:t xml:space="preserve"> </w:t>
      </w:r>
      <w:r w:rsidR="00A22467" w:rsidRPr="006D390D">
        <w:rPr>
          <w:rFonts w:cs="Calibri"/>
          <w:lang w:val="es-ES_tradnl"/>
        </w:rPr>
        <w:t xml:space="preserve">se incluyen </w:t>
      </w:r>
      <w:r w:rsidR="001C3E3E" w:rsidRPr="006D390D">
        <w:rPr>
          <w:rFonts w:cs="Calibri"/>
          <w:lang w:val="es-ES_tradnl"/>
        </w:rPr>
        <w:t>existen unas enormes diferencias de actividad y de generación de residuos</w:t>
      </w:r>
      <w:r w:rsidR="00D00F60" w:rsidRPr="006D390D">
        <w:rPr>
          <w:rFonts w:cs="Calibri"/>
          <w:lang w:val="es-ES_tradnl"/>
        </w:rPr>
        <w:t>, como son los “internados”, los “colegios mayores”, las “bibliotecas” o las “capillas”</w:t>
      </w:r>
      <w:r w:rsidR="00360327" w:rsidRPr="006D390D">
        <w:rPr>
          <w:rFonts w:cs="Calibri"/>
          <w:lang w:val="es-ES_tradnl"/>
        </w:rPr>
        <w:t xml:space="preserve">. </w:t>
      </w:r>
      <w:r w:rsidR="00D00F60" w:rsidRPr="006D390D">
        <w:rPr>
          <w:rFonts w:cs="Calibri"/>
          <w:lang w:val="es-ES_tradnl"/>
        </w:rPr>
        <w:t xml:space="preserve">Consecuentemente, </w:t>
      </w:r>
      <w:r w:rsidR="00360327" w:rsidRPr="006D390D">
        <w:rPr>
          <w:rFonts w:cs="Calibri"/>
          <w:lang w:val="es-ES_tradnl"/>
        </w:rPr>
        <w:t xml:space="preserve">la OF les aplica </w:t>
      </w:r>
      <w:r w:rsidR="002537AA" w:rsidRPr="006D390D">
        <w:rPr>
          <w:rFonts w:cs="Calibri"/>
          <w:lang w:val="es-ES_tradnl"/>
        </w:rPr>
        <w:t xml:space="preserve">las mismas reglas de cuantificación a unos y otros, cuando es evidente </w:t>
      </w:r>
      <w:r w:rsidR="002537AA" w:rsidRPr="006D390D">
        <w:rPr>
          <w:rFonts w:cs="Calibri"/>
          <w:lang w:val="es-ES_tradnl"/>
        </w:rPr>
        <w:lastRenderedPageBreak/>
        <w:t xml:space="preserve">que la generación de residuos es mucho mayor en </w:t>
      </w:r>
      <w:r w:rsidR="001C3E3E" w:rsidRPr="006D390D">
        <w:rPr>
          <w:rFonts w:cs="Calibri"/>
          <w:lang w:val="es-ES_tradnl"/>
        </w:rPr>
        <w:t>un colegio mayor</w:t>
      </w:r>
      <w:r w:rsidR="002537AA" w:rsidRPr="006D390D">
        <w:rPr>
          <w:rFonts w:cs="Calibri"/>
          <w:lang w:val="es-ES_tradnl"/>
        </w:rPr>
        <w:t xml:space="preserve"> que en una biblioteca.</w:t>
      </w:r>
    </w:p>
    <w:p w14:paraId="53D53CAE" w14:textId="77777777" w:rsidR="00A7023A" w:rsidRPr="006D390D" w:rsidRDefault="00A7023A" w:rsidP="00A7023A">
      <w:pPr>
        <w:pStyle w:val="Prrafodelista"/>
        <w:rPr>
          <w:rFonts w:cs="Calibri"/>
          <w:lang w:val="es-ES_tradnl"/>
        </w:rPr>
      </w:pPr>
    </w:p>
    <w:p w14:paraId="2A089CBB" w14:textId="29566DA2" w:rsidR="00F14213" w:rsidRPr="006D390D" w:rsidRDefault="00F14213" w:rsidP="00B605A1">
      <w:pPr>
        <w:pStyle w:val="Prrafodelista"/>
        <w:numPr>
          <w:ilvl w:val="0"/>
          <w:numId w:val="6"/>
        </w:numPr>
        <w:jc w:val="both"/>
        <w:rPr>
          <w:rFonts w:cs="Calibri"/>
          <w:lang w:val="es-ES_tradnl"/>
        </w:rPr>
      </w:pPr>
      <w:r w:rsidRPr="006D390D">
        <w:rPr>
          <w:rFonts w:cs="Calibri"/>
          <w:b/>
          <w:bCs/>
          <w:lang w:val="es-ES_tradnl"/>
        </w:rPr>
        <w:t>Por agrupar miles de inmuebles en las llamadas “zonas homogéneas”, aplicándoles el mismo jurídico pese a la existencia de diferencias relevantes</w:t>
      </w:r>
      <w:r w:rsidRPr="006D390D">
        <w:rPr>
          <w:rFonts w:cs="Calibri"/>
          <w:lang w:val="es-ES_tradnl"/>
        </w:rPr>
        <w:t>.</w:t>
      </w:r>
      <w:r w:rsidR="00B605A1" w:rsidRPr="006D390D">
        <w:rPr>
          <w:rFonts w:cs="Calibri"/>
          <w:lang w:val="es-ES_tradnl"/>
        </w:rPr>
        <w:t xml:space="preserve"> Resulta totalmente insólito, pero la ordenanza fiscal da el mismo trato a los distintos inmuebles en función de las llamadas “zonas homogéneas”,</w:t>
      </w:r>
      <w:r w:rsidR="00462A42" w:rsidRPr="006D390D">
        <w:rPr>
          <w:rFonts w:cs="Calibri"/>
          <w:lang w:val="es-ES_tradnl"/>
        </w:rPr>
        <w:t xml:space="preserve"> pese a que cada una de esas zonas tiene una enorme extensión y ello</w:t>
      </w:r>
      <w:r w:rsidR="002800EE" w:rsidRPr="006D390D">
        <w:rPr>
          <w:rFonts w:cs="Calibri"/>
          <w:lang w:val="es-ES_tradnl"/>
        </w:rPr>
        <w:t xml:space="preserve"> impide considerar que los inmuebles comprendido</w:t>
      </w:r>
      <w:r w:rsidR="00CC7017" w:rsidRPr="006D390D">
        <w:rPr>
          <w:rFonts w:cs="Calibri"/>
          <w:lang w:val="es-ES_tradnl"/>
        </w:rPr>
        <w:t>s</w:t>
      </w:r>
      <w:r w:rsidR="002800EE" w:rsidRPr="006D390D">
        <w:rPr>
          <w:rFonts w:cs="Calibri"/>
          <w:lang w:val="es-ES_tradnl"/>
        </w:rPr>
        <w:t xml:space="preserve"> en la misma sean homogéneos.</w:t>
      </w:r>
      <w:r w:rsidR="00001801" w:rsidRPr="006D390D">
        <w:rPr>
          <w:rFonts w:cs="Calibri"/>
          <w:lang w:val="es-ES_tradnl"/>
        </w:rPr>
        <w:t xml:space="preserve"> </w:t>
      </w:r>
    </w:p>
    <w:p w14:paraId="64BDAE28" w14:textId="77777777" w:rsidR="00001801" w:rsidRPr="006D390D" w:rsidRDefault="00001801" w:rsidP="00001801">
      <w:pPr>
        <w:pStyle w:val="Prrafodelista"/>
        <w:jc w:val="both"/>
        <w:rPr>
          <w:rFonts w:cs="Calibri"/>
          <w:lang w:val="es-ES_tradnl"/>
        </w:rPr>
      </w:pPr>
    </w:p>
    <w:p w14:paraId="095E05E0" w14:textId="4480655A" w:rsidR="00001801" w:rsidRPr="006D390D" w:rsidRDefault="00001801" w:rsidP="00001801">
      <w:pPr>
        <w:pStyle w:val="Prrafodelista"/>
        <w:jc w:val="both"/>
        <w:rPr>
          <w:rFonts w:cs="Calibri"/>
          <w:lang w:val="es-ES_tradnl"/>
        </w:rPr>
      </w:pPr>
      <w:r w:rsidRPr="006D390D">
        <w:rPr>
          <w:rFonts w:cs="Calibri"/>
          <w:lang w:val="es-ES_tradnl"/>
        </w:rPr>
        <w:t xml:space="preserve">En concreto, la ordenanza fiscal considera que todo Madrid se puede compartimentar en </w:t>
      </w:r>
      <w:r w:rsidR="008B432D" w:rsidRPr="006D390D">
        <w:rPr>
          <w:rFonts w:cs="Calibri"/>
          <w:lang w:val="es-ES_tradnl"/>
        </w:rPr>
        <w:t>6</w:t>
      </w:r>
      <w:r w:rsidRPr="006D390D">
        <w:rPr>
          <w:rFonts w:cs="Calibri"/>
          <w:lang w:val="es-ES_tradnl"/>
        </w:rPr>
        <w:t xml:space="preserve"> zonas homogéneas, que </w:t>
      </w:r>
      <w:r w:rsidR="00340B75" w:rsidRPr="006D390D">
        <w:rPr>
          <w:rFonts w:cs="Calibri"/>
          <w:lang w:val="es-ES_tradnl"/>
        </w:rPr>
        <w:t>son las siguientes:</w:t>
      </w:r>
    </w:p>
    <w:tbl>
      <w:tblPr>
        <w:tblStyle w:val="Tablaconcuadrcula"/>
        <w:tblW w:w="0" w:type="auto"/>
        <w:tblInd w:w="720" w:type="dxa"/>
        <w:tblLook w:val="04A0" w:firstRow="1" w:lastRow="0" w:firstColumn="1" w:lastColumn="0" w:noHBand="0" w:noVBand="1"/>
      </w:tblPr>
      <w:tblGrid>
        <w:gridCol w:w="7774"/>
      </w:tblGrid>
      <w:tr w:rsidR="00340B75" w:rsidRPr="006D390D" w14:paraId="5AF0A802" w14:textId="77777777" w:rsidTr="00340B75">
        <w:tc>
          <w:tcPr>
            <w:tcW w:w="8494" w:type="dxa"/>
          </w:tcPr>
          <w:p w14:paraId="79916C32" w14:textId="681380E8" w:rsidR="00340B75" w:rsidRPr="006D390D" w:rsidRDefault="00340B75" w:rsidP="00001801">
            <w:pPr>
              <w:pStyle w:val="Prrafodelista"/>
              <w:ind w:left="0"/>
              <w:jc w:val="both"/>
              <w:rPr>
                <w:rFonts w:cs="Calibri"/>
                <w:lang w:val="es-ES_tradnl"/>
              </w:rPr>
            </w:pPr>
            <w:r w:rsidRPr="006D390D">
              <w:rPr>
                <w:noProof/>
              </w:rPr>
              <w:drawing>
                <wp:inline distT="0" distB="0" distL="0" distR="0" wp14:anchorId="4F452AA2" wp14:editId="2B816756">
                  <wp:extent cx="5109373" cy="1897767"/>
                  <wp:effectExtent l="0" t="0" r="0" b="7620"/>
                  <wp:docPr id="1129916584" name="Imagen 1" descr="Texto, Correo electrón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916584" name="Imagen 1" descr="Texto, Correo electrónico&#10;&#10;El contenido generado por IA puede ser incorrecto."/>
                          <pic:cNvPicPr/>
                        </pic:nvPicPr>
                        <pic:blipFill>
                          <a:blip r:embed="rId7"/>
                          <a:stretch>
                            <a:fillRect/>
                          </a:stretch>
                        </pic:blipFill>
                        <pic:spPr>
                          <a:xfrm>
                            <a:off x="0" y="0"/>
                            <a:ext cx="5113345" cy="1899242"/>
                          </a:xfrm>
                          <a:prstGeom prst="rect">
                            <a:avLst/>
                          </a:prstGeom>
                        </pic:spPr>
                      </pic:pic>
                    </a:graphicData>
                  </a:graphic>
                </wp:inline>
              </w:drawing>
            </w:r>
          </w:p>
        </w:tc>
      </w:tr>
    </w:tbl>
    <w:p w14:paraId="102EECBD" w14:textId="77777777" w:rsidR="00340B75" w:rsidRPr="006D390D" w:rsidRDefault="00340B75" w:rsidP="00001801">
      <w:pPr>
        <w:pStyle w:val="Prrafodelista"/>
        <w:jc w:val="both"/>
        <w:rPr>
          <w:rFonts w:cs="Calibri"/>
          <w:lang w:val="es-ES_tradnl"/>
        </w:rPr>
      </w:pPr>
    </w:p>
    <w:p w14:paraId="6BA9CF7D" w14:textId="170D8B73" w:rsidR="00135174" w:rsidRPr="006D390D" w:rsidRDefault="00135174" w:rsidP="00135174">
      <w:pPr>
        <w:pStyle w:val="Prrafodelista"/>
        <w:rPr>
          <w:rFonts w:cs="Calibri"/>
        </w:rPr>
      </w:pPr>
      <w:r w:rsidRPr="006D390D">
        <w:rPr>
          <w:rFonts w:cs="Calibri"/>
        </w:rPr>
        <w:t xml:space="preserve">Esta regla implica que, a los efectos de cuantificar la tarifa por generación, resulte totalmente indiferente la actuación individual del contribuyente. Lo únicamente relevante será el barrio en el que se desarrolle la actividad, porque según esa regla todas las actividades de Madrid se pueden agrupar en esas 6 grandes zonas homogéneas, en las que el Ayuntamiento </w:t>
      </w:r>
      <w:r w:rsidR="00B14EA6" w:rsidRPr="006D390D">
        <w:rPr>
          <w:rFonts w:cs="Calibri"/>
        </w:rPr>
        <w:t xml:space="preserve">considera que el </w:t>
      </w:r>
      <w:r w:rsidRPr="006D390D">
        <w:rPr>
          <w:rFonts w:cs="Calibri"/>
        </w:rPr>
        <w:t>comportamiento de todos los contribuyentes es similar.</w:t>
      </w:r>
    </w:p>
    <w:p w14:paraId="6C89D80F" w14:textId="77777777" w:rsidR="00135174" w:rsidRPr="006D390D" w:rsidRDefault="00135174" w:rsidP="00135174">
      <w:pPr>
        <w:pStyle w:val="Prrafodelista"/>
        <w:rPr>
          <w:rFonts w:cs="Calibri"/>
          <w:lang w:val="es-ES_tradnl"/>
        </w:rPr>
      </w:pPr>
    </w:p>
    <w:p w14:paraId="0015662E" w14:textId="1B24BF8D" w:rsidR="00340B75" w:rsidRPr="006D390D" w:rsidRDefault="00135174" w:rsidP="00135174">
      <w:pPr>
        <w:pStyle w:val="Prrafodelista"/>
        <w:jc w:val="both"/>
        <w:rPr>
          <w:rFonts w:cs="Calibri"/>
          <w:lang w:val="es-ES_tradnl"/>
        </w:rPr>
      </w:pPr>
      <w:r w:rsidRPr="006D390D">
        <w:rPr>
          <w:rFonts w:cs="Calibri"/>
          <w:lang w:val="es-ES_tradnl"/>
        </w:rPr>
        <w:t xml:space="preserve">Y la segunda regla de objetivación se contiene en el ITE, en donde se contienen unas tablas en las que se identifica el volumen de residuos generados por cada uno de los inmuebles que tienen el mismo uso catastral. Ello significa que, </w:t>
      </w:r>
      <w:r w:rsidR="00C64EC9" w:rsidRPr="006D390D">
        <w:rPr>
          <w:rFonts w:cs="Calibri"/>
          <w:lang w:val="es-ES_tradnl"/>
        </w:rPr>
        <w:t xml:space="preserve">de acuerdo con el ITE, </w:t>
      </w:r>
      <w:r w:rsidRPr="006D390D">
        <w:rPr>
          <w:rFonts w:cs="Calibri"/>
          <w:lang w:val="es-ES_tradnl"/>
        </w:rPr>
        <w:t>un inmueble de uso catastral ocio hostelería genera un volumen de residuos anual totalmente distinto según el barrio en el que se ubica</w:t>
      </w:r>
      <w:r w:rsidR="00C64EC9" w:rsidRPr="006D390D">
        <w:rPr>
          <w:rFonts w:cs="Calibri"/>
          <w:lang w:val="es-ES_tradnl"/>
        </w:rPr>
        <w:t xml:space="preserve">, </w:t>
      </w:r>
      <w:r w:rsidR="00117BD6" w:rsidRPr="006D390D">
        <w:rPr>
          <w:rFonts w:cs="Calibri"/>
          <w:lang w:val="es-ES_tradnl"/>
        </w:rPr>
        <w:t>exigiéndose a los restaurantes del barrio de</w:t>
      </w:r>
      <w:r w:rsidR="002D7032" w:rsidRPr="006D390D">
        <w:rPr>
          <w:rFonts w:cs="Calibri"/>
          <w:lang w:val="es-ES_tradnl"/>
        </w:rPr>
        <w:t xml:space="preserve">l barrio de Carabanchel o Usera una </w:t>
      </w:r>
      <w:r w:rsidR="00BD039B" w:rsidRPr="006D390D">
        <w:rPr>
          <w:rFonts w:cs="Calibri"/>
          <w:lang w:val="es-ES_tradnl"/>
        </w:rPr>
        <w:t xml:space="preserve">tarifa </w:t>
      </w:r>
      <w:r w:rsidR="008D2729" w:rsidRPr="006D390D">
        <w:rPr>
          <w:rFonts w:cs="Calibri"/>
          <w:lang w:val="es-ES_tradnl"/>
        </w:rPr>
        <w:t>cinco veces superior a la exigida a otro local de las mismas características que estuviera en el barrio de Villaverde</w:t>
      </w:r>
      <w:r w:rsidR="00E640DB" w:rsidRPr="006D390D">
        <w:rPr>
          <w:rFonts w:cs="Calibri"/>
          <w:lang w:val="es-ES_tradnl"/>
        </w:rPr>
        <w:t xml:space="preserve">, lo que resulta absolutamente inverosímil. </w:t>
      </w:r>
    </w:p>
    <w:p w14:paraId="2E6BBEE0" w14:textId="77777777" w:rsidR="00E62B2D" w:rsidRPr="006D390D" w:rsidRDefault="00E62B2D" w:rsidP="000D0E5C">
      <w:pPr>
        <w:jc w:val="both"/>
        <w:rPr>
          <w:rFonts w:cs="Calibri"/>
        </w:rPr>
      </w:pPr>
    </w:p>
    <w:p w14:paraId="1785BC6C" w14:textId="77777777" w:rsidR="008D583C" w:rsidRPr="006D390D" w:rsidRDefault="00D35DA1" w:rsidP="00E81BC5">
      <w:pPr>
        <w:jc w:val="both"/>
        <w:rPr>
          <w:rFonts w:cs="Calibri"/>
        </w:rPr>
      </w:pPr>
      <w:r w:rsidRPr="006D390D">
        <w:rPr>
          <w:rFonts w:cs="Calibri"/>
          <w:b/>
          <w:bCs/>
        </w:rPr>
        <w:t xml:space="preserve">CUARTA. INJUSTIFICADA </w:t>
      </w:r>
      <w:r w:rsidR="008D583C" w:rsidRPr="006D390D">
        <w:rPr>
          <w:rFonts w:cs="Calibri"/>
          <w:b/>
          <w:bCs/>
        </w:rPr>
        <w:t xml:space="preserve">REGLA DE </w:t>
      </w:r>
      <w:r w:rsidRPr="006D390D">
        <w:rPr>
          <w:rFonts w:cs="Calibri"/>
          <w:b/>
          <w:bCs/>
        </w:rPr>
        <w:t>NO SUJECIÓN DE LOS INMUEBLES</w:t>
      </w:r>
      <w:r w:rsidR="003E176C" w:rsidRPr="006D390D">
        <w:rPr>
          <w:rFonts w:cs="Calibri"/>
          <w:b/>
          <w:bCs/>
        </w:rPr>
        <w:t xml:space="preserve"> EN LOS QUE SE ENTREGA LA TOTALIDAD DE LOS RESIDUOS A UN GESTOR AUTORIZADO</w:t>
      </w:r>
      <w:r w:rsidRPr="006D390D">
        <w:rPr>
          <w:rFonts w:cs="Calibri"/>
          <w:b/>
          <w:bCs/>
        </w:rPr>
        <w:t>.</w:t>
      </w:r>
      <w:r w:rsidRPr="006D390D">
        <w:rPr>
          <w:rFonts w:cs="Calibri"/>
        </w:rPr>
        <w:t xml:space="preserve"> </w:t>
      </w:r>
      <w:r w:rsidR="00E81BC5" w:rsidRPr="006D390D">
        <w:rPr>
          <w:rFonts w:cs="Calibri"/>
        </w:rPr>
        <w:t xml:space="preserve">El artículo 4 de la OF establece la no sujeción a la tasa </w:t>
      </w:r>
      <w:r w:rsidR="00EC45BB" w:rsidRPr="006D390D">
        <w:rPr>
          <w:rFonts w:cs="Calibri"/>
        </w:rPr>
        <w:t xml:space="preserve">en los supuestos de </w:t>
      </w:r>
      <w:r w:rsidR="00E81BC5" w:rsidRPr="006D390D">
        <w:rPr>
          <w:rFonts w:cs="Calibri"/>
        </w:rPr>
        <w:t xml:space="preserve">inmuebles en los que se ejerzan actividades, </w:t>
      </w:r>
      <w:r w:rsidR="008D583C" w:rsidRPr="006D390D">
        <w:rPr>
          <w:rFonts w:cs="Calibri"/>
        </w:rPr>
        <w:t>“</w:t>
      </w:r>
      <w:r w:rsidR="00E81BC5" w:rsidRPr="006D390D">
        <w:rPr>
          <w:rFonts w:cs="Calibri"/>
          <w:i/>
          <w:iCs/>
        </w:rPr>
        <w:t>cuando los poseedores o productores de residuos hubieran entregado la totalidad de los residuos generados a un gestor autorizado</w:t>
      </w:r>
      <w:r w:rsidR="008D583C" w:rsidRPr="006D390D">
        <w:rPr>
          <w:rFonts w:cs="Calibri"/>
          <w:i/>
          <w:iCs/>
        </w:rPr>
        <w:t>”.</w:t>
      </w:r>
    </w:p>
    <w:p w14:paraId="410C6AF1" w14:textId="35899955" w:rsidR="00D35DA1" w:rsidRPr="006D390D" w:rsidRDefault="008D583C" w:rsidP="00E81BC5">
      <w:pPr>
        <w:jc w:val="both"/>
        <w:rPr>
          <w:rFonts w:cs="Calibri"/>
        </w:rPr>
      </w:pPr>
      <w:r w:rsidRPr="006D390D">
        <w:rPr>
          <w:rFonts w:cs="Calibri"/>
        </w:rPr>
        <w:lastRenderedPageBreak/>
        <w:t>Se trata de una regla injustificada e injustificable, porque los titulares de esos inmuebles también se benefician de la existencia de un servicio general de retirada y tratamiento de residuos y, por tanto, deberían contribuir a su financiación</w:t>
      </w:r>
      <w:r w:rsidR="00461B1D" w:rsidRPr="006D390D">
        <w:rPr>
          <w:rFonts w:cs="Calibri"/>
        </w:rPr>
        <w:t xml:space="preserve">. Así, se por ejemplo, se podría eximir a estos inmuebles del pago de la </w:t>
      </w:r>
      <w:r w:rsidR="005C1F82" w:rsidRPr="006D390D">
        <w:rPr>
          <w:rFonts w:cs="Calibri"/>
        </w:rPr>
        <w:t>llamada “tarifa por generación</w:t>
      </w:r>
      <w:r w:rsidR="0031033D" w:rsidRPr="006D390D">
        <w:rPr>
          <w:rFonts w:cs="Calibri"/>
        </w:rPr>
        <w:t>”, o se podría reducir su cuota a la mitad, pero lo cierto es que sí deberían contribuir a la financiación de un servicio público que les beneficia: por su mera existencia, y porque en cualquier momento podrían utilizarlo</w:t>
      </w:r>
      <w:r w:rsidR="00B466CF" w:rsidRPr="006D390D">
        <w:rPr>
          <w:rFonts w:cs="Calibri"/>
        </w:rPr>
        <w:t xml:space="preserve"> (distraídamente, por el cese de actividad de la empresa privada contratada).</w:t>
      </w:r>
    </w:p>
    <w:p w14:paraId="059664F1" w14:textId="59040156" w:rsidR="00B466CF" w:rsidRPr="006D390D" w:rsidRDefault="00F810F1" w:rsidP="00E81BC5">
      <w:pPr>
        <w:jc w:val="both"/>
        <w:rPr>
          <w:rFonts w:cs="Calibri"/>
        </w:rPr>
      </w:pPr>
      <w:r w:rsidRPr="006D390D">
        <w:rPr>
          <w:rFonts w:cs="Calibri"/>
        </w:rPr>
        <w:t>Esta irregularidad debe ser expresamente denunciada porque</w:t>
      </w:r>
      <w:r w:rsidR="00045641" w:rsidRPr="006D390D">
        <w:rPr>
          <w:rFonts w:cs="Calibri"/>
        </w:rPr>
        <w:t xml:space="preserve">, contra lo que se pudiera pensar, la regla de no sujeción establecida para ese grupo de contribuyentes tiene una clara </w:t>
      </w:r>
      <w:r w:rsidRPr="006D390D">
        <w:rPr>
          <w:rFonts w:cs="Calibri"/>
        </w:rPr>
        <w:t xml:space="preserve">repercusión </w:t>
      </w:r>
      <w:r w:rsidR="00045641" w:rsidRPr="006D390D">
        <w:rPr>
          <w:rFonts w:cs="Calibri"/>
        </w:rPr>
        <w:t>en la tributación del resto de contribuyentes, porque</w:t>
      </w:r>
      <w:r w:rsidR="00CA2C35" w:rsidRPr="006D390D">
        <w:rPr>
          <w:rFonts w:cs="Calibri"/>
        </w:rPr>
        <w:t>,</w:t>
      </w:r>
      <w:r w:rsidR="00045641" w:rsidRPr="006D390D">
        <w:rPr>
          <w:rFonts w:cs="Calibri"/>
        </w:rPr>
        <w:t xml:space="preserve"> </w:t>
      </w:r>
      <w:r w:rsidRPr="006D390D">
        <w:rPr>
          <w:rFonts w:cs="Calibri"/>
        </w:rPr>
        <w:t xml:space="preserve">al configurarse la tasa como un tributo de cupo o reparto (en el que el coste del servicio se distribuye entre los beneficiados del mismos), </w:t>
      </w:r>
      <w:r w:rsidR="00CA2C35" w:rsidRPr="006D390D">
        <w:rPr>
          <w:rFonts w:cs="Calibri"/>
        </w:rPr>
        <w:t xml:space="preserve">el resultado de disminuir el número de contribuyentes es un incremento de cuota de los que sí tienen la consideración de contribuyentes. </w:t>
      </w:r>
    </w:p>
    <w:p w14:paraId="4312817A" w14:textId="77777777" w:rsidR="00F810F1" w:rsidRPr="006D390D" w:rsidRDefault="00F810F1" w:rsidP="00E81BC5">
      <w:pPr>
        <w:jc w:val="both"/>
        <w:rPr>
          <w:rFonts w:cs="Calibri"/>
        </w:rPr>
      </w:pPr>
    </w:p>
    <w:p w14:paraId="7E0B96BD" w14:textId="2774CD6B" w:rsidR="00D35DA1" w:rsidRPr="006D390D" w:rsidRDefault="00D35DA1" w:rsidP="00D35DA1">
      <w:pPr>
        <w:jc w:val="both"/>
        <w:rPr>
          <w:rFonts w:cs="Calibri"/>
        </w:rPr>
      </w:pPr>
      <w:r w:rsidRPr="006D390D">
        <w:rPr>
          <w:rFonts w:cs="Calibri"/>
          <w:b/>
          <w:bCs/>
        </w:rPr>
        <w:t>QUINTA. PROYECCIÓN DE LAS ILEGALIDADES ANTERIORES EN LA LIQUIDACIÓN IMPUGNADA.</w:t>
      </w:r>
      <w:r w:rsidRPr="006D390D">
        <w:rPr>
          <w:rFonts w:cs="Calibri"/>
        </w:rPr>
        <w:t xml:space="preserve"> Las ilegalidades recogidas en los apartados anteriores determinan la ilegalidad de la ordenanza fiscal, lo que conlleva la ilegalidad de los actos dictados en aplicación de la misma, como la liquidación impugnada en la presente reclamación.</w:t>
      </w:r>
    </w:p>
    <w:p w14:paraId="6D19E81F" w14:textId="4B458553" w:rsidR="005468E3" w:rsidRPr="006D390D" w:rsidRDefault="00324E78" w:rsidP="005468E3">
      <w:pPr>
        <w:jc w:val="both"/>
        <w:rPr>
          <w:rFonts w:cs="Calibri"/>
        </w:rPr>
      </w:pPr>
      <w:r w:rsidRPr="006D390D">
        <w:rPr>
          <w:rFonts w:cs="Calibri"/>
        </w:rPr>
        <w:t>A</w:t>
      </w:r>
      <w:r w:rsidR="000556F3" w:rsidRPr="006D390D">
        <w:rPr>
          <w:rFonts w:cs="Calibri"/>
        </w:rPr>
        <w:t>demás</w:t>
      </w:r>
      <w:r w:rsidRPr="006D390D">
        <w:rPr>
          <w:rFonts w:cs="Calibri"/>
        </w:rPr>
        <w:t xml:space="preserve">, debemos destacar expresamente que </w:t>
      </w:r>
      <w:r w:rsidR="00A45E16" w:rsidRPr="006D390D">
        <w:rPr>
          <w:rFonts w:cs="Calibri"/>
        </w:rPr>
        <w:t xml:space="preserve">las irregularidades de las reglas de cuantificación de la tasa expuestas en las alegaciones anteriores conllevan </w:t>
      </w:r>
      <w:r w:rsidR="000556F3" w:rsidRPr="006D390D">
        <w:rPr>
          <w:rFonts w:cs="Calibri"/>
        </w:rPr>
        <w:t xml:space="preserve">la ilegalidad de la </w:t>
      </w:r>
      <w:r w:rsidR="006D1E03" w:rsidRPr="006D390D">
        <w:rPr>
          <w:rFonts w:cs="Calibri"/>
        </w:rPr>
        <w:t xml:space="preserve">liquidación impugnada </w:t>
      </w:r>
      <w:r w:rsidR="007A46CD" w:rsidRPr="006D390D">
        <w:rPr>
          <w:rFonts w:cs="Calibri"/>
        </w:rPr>
        <w:t>porque</w:t>
      </w:r>
      <w:r w:rsidR="003844CE" w:rsidRPr="006D390D">
        <w:rPr>
          <w:rFonts w:cs="Calibri"/>
        </w:rPr>
        <w:t>,</w:t>
      </w:r>
      <w:r w:rsidR="007A46CD" w:rsidRPr="006D390D">
        <w:rPr>
          <w:rFonts w:cs="Calibri"/>
        </w:rPr>
        <w:t xml:space="preserve"> al configurarse la tasa de residuos como un tributo de cupo o reparto, la</w:t>
      </w:r>
      <w:r w:rsidR="00985125" w:rsidRPr="006D390D">
        <w:rPr>
          <w:rFonts w:cs="Calibri"/>
        </w:rPr>
        <w:t xml:space="preserve">s </w:t>
      </w:r>
      <w:r w:rsidR="00EB6A5E" w:rsidRPr="006D390D">
        <w:rPr>
          <w:rFonts w:cs="Calibri"/>
        </w:rPr>
        <w:t xml:space="preserve">cuotas incorrectamente </w:t>
      </w:r>
      <w:r w:rsidR="00913064" w:rsidRPr="006D390D">
        <w:rPr>
          <w:rFonts w:cs="Calibri"/>
        </w:rPr>
        <w:t>cuantificadas</w:t>
      </w:r>
      <w:r w:rsidR="00EB6A5E" w:rsidRPr="006D390D">
        <w:rPr>
          <w:rFonts w:cs="Calibri"/>
        </w:rPr>
        <w:t xml:space="preserve"> </w:t>
      </w:r>
      <w:r w:rsidR="006D1E03" w:rsidRPr="006D390D">
        <w:rPr>
          <w:rFonts w:cs="Calibri"/>
        </w:rPr>
        <w:t xml:space="preserve">para </w:t>
      </w:r>
      <w:r w:rsidR="00EB6A5E" w:rsidRPr="006D390D">
        <w:rPr>
          <w:rFonts w:cs="Calibri"/>
        </w:rPr>
        <w:t xml:space="preserve">algunos contribuyentes </w:t>
      </w:r>
      <w:r w:rsidR="00913064" w:rsidRPr="006D390D">
        <w:rPr>
          <w:rFonts w:cs="Calibri"/>
        </w:rPr>
        <w:t xml:space="preserve">determinan una </w:t>
      </w:r>
      <w:r w:rsidR="008B6EA1" w:rsidRPr="006D390D">
        <w:rPr>
          <w:rFonts w:cs="Calibri"/>
        </w:rPr>
        <w:t xml:space="preserve">disminución de ingresos </w:t>
      </w:r>
      <w:r w:rsidR="00913064" w:rsidRPr="006D390D">
        <w:rPr>
          <w:rFonts w:cs="Calibri"/>
        </w:rPr>
        <w:t xml:space="preserve">que </w:t>
      </w:r>
      <w:r w:rsidR="008B6EA1" w:rsidRPr="006D390D">
        <w:rPr>
          <w:rFonts w:cs="Calibri"/>
        </w:rPr>
        <w:t xml:space="preserve">conlleva necesariamente un incremento de </w:t>
      </w:r>
      <w:r w:rsidR="00913064" w:rsidRPr="006D390D">
        <w:rPr>
          <w:rFonts w:cs="Calibri"/>
        </w:rPr>
        <w:t xml:space="preserve">las cuotas del resto de contribuyentes. </w:t>
      </w:r>
      <w:r w:rsidR="00985125" w:rsidRPr="006D390D">
        <w:rPr>
          <w:rFonts w:cs="Calibri"/>
        </w:rPr>
        <w:t>Por ello</w:t>
      </w:r>
      <w:r w:rsidR="00913064" w:rsidRPr="006D390D">
        <w:rPr>
          <w:rFonts w:cs="Calibri"/>
        </w:rPr>
        <w:t xml:space="preserve">, </w:t>
      </w:r>
      <w:r w:rsidR="00CE238C" w:rsidRPr="006D390D">
        <w:rPr>
          <w:rFonts w:cs="Calibri"/>
        </w:rPr>
        <w:t xml:space="preserve">la </w:t>
      </w:r>
      <w:r w:rsidR="008A1417" w:rsidRPr="006D390D">
        <w:rPr>
          <w:rFonts w:cs="Calibri"/>
        </w:rPr>
        <w:t>incorrecta</w:t>
      </w:r>
      <w:r w:rsidR="00761BFD" w:rsidRPr="006D390D">
        <w:rPr>
          <w:rFonts w:cs="Calibri"/>
        </w:rPr>
        <w:t xml:space="preserve"> cuantificación </w:t>
      </w:r>
      <w:r w:rsidR="00CE238C" w:rsidRPr="006D390D">
        <w:rPr>
          <w:rFonts w:cs="Calibri"/>
        </w:rPr>
        <w:t xml:space="preserve">de </w:t>
      </w:r>
      <w:r w:rsidR="007B5300" w:rsidRPr="006D390D">
        <w:rPr>
          <w:rFonts w:cs="Calibri"/>
        </w:rPr>
        <w:t>las liquidaciones de un grupo de contribuyentes determina la ilegalidad de tod</w:t>
      </w:r>
      <w:r w:rsidR="008A1417" w:rsidRPr="006D390D">
        <w:rPr>
          <w:rFonts w:cs="Calibri"/>
        </w:rPr>
        <w:t>a</w:t>
      </w:r>
      <w:r w:rsidR="007B5300" w:rsidRPr="006D390D">
        <w:rPr>
          <w:rFonts w:cs="Calibri"/>
        </w:rPr>
        <w:t xml:space="preserve">s </w:t>
      </w:r>
      <w:r w:rsidR="008A1417" w:rsidRPr="006D390D">
        <w:rPr>
          <w:rFonts w:cs="Calibri"/>
        </w:rPr>
        <w:t xml:space="preserve">las liquidaciones, </w:t>
      </w:r>
      <w:r w:rsidR="007B5300" w:rsidRPr="006D390D">
        <w:rPr>
          <w:rFonts w:cs="Calibri"/>
        </w:rPr>
        <w:t xml:space="preserve">porque </w:t>
      </w:r>
      <w:r w:rsidR="00515D91" w:rsidRPr="006D390D">
        <w:rPr>
          <w:rFonts w:cs="Calibri"/>
        </w:rPr>
        <w:t>la Ley 7/2022 exige que la tasa no sea deficitaria y por ello se ha distribuido el coste total de prestación del servicio entre todos los contribuyentes.</w:t>
      </w:r>
    </w:p>
    <w:p w14:paraId="44438389" w14:textId="472C5AD5" w:rsidR="005468E3" w:rsidRPr="006D390D" w:rsidRDefault="009A2B5A" w:rsidP="000D0E5C">
      <w:pPr>
        <w:jc w:val="both"/>
        <w:rPr>
          <w:rFonts w:cs="Calibri"/>
        </w:rPr>
      </w:pPr>
      <w:r w:rsidRPr="006D390D">
        <w:rPr>
          <w:rFonts w:cs="Calibri"/>
        </w:rPr>
        <w:t>De todo lo expuesto se desprende que la liquidación impugnada, así como la disposición general que la sustenta, son claramente ilegales.</w:t>
      </w:r>
    </w:p>
    <w:p w14:paraId="7EEAEFB4" w14:textId="71DF2D64" w:rsidR="000D0E5C" w:rsidRPr="006D390D" w:rsidRDefault="000D0E5C" w:rsidP="000D0E5C">
      <w:pPr>
        <w:jc w:val="both"/>
        <w:rPr>
          <w:rFonts w:cs="Calibri"/>
        </w:rPr>
      </w:pPr>
      <w:r w:rsidRPr="006D390D">
        <w:rPr>
          <w:rFonts w:cs="Calibri"/>
        </w:rPr>
        <w:t>Por todo lo expuesto,</w:t>
      </w:r>
    </w:p>
    <w:p w14:paraId="15FACE18" w14:textId="0AE77565" w:rsidR="000D0E5C" w:rsidRPr="006D390D" w:rsidRDefault="000D0E5C" w:rsidP="000D0E5C">
      <w:pPr>
        <w:jc w:val="both"/>
        <w:rPr>
          <w:rFonts w:cs="Calibri"/>
        </w:rPr>
      </w:pPr>
      <w:r w:rsidRPr="006D390D">
        <w:rPr>
          <w:rFonts w:cs="Calibri"/>
          <w:b/>
        </w:rPr>
        <w:t>SOLICITO A LA AGENCIA TRIBUTARIA DE MADRID</w:t>
      </w:r>
      <w:r w:rsidRPr="006D390D">
        <w:rPr>
          <w:rFonts w:cs="Calibri"/>
        </w:rPr>
        <w:t xml:space="preserve"> que</w:t>
      </w:r>
      <w:r w:rsidR="00A27BE0" w:rsidRPr="006D390D">
        <w:rPr>
          <w:rFonts w:cs="Calibri"/>
        </w:rPr>
        <w:t xml:space="preserve"> tenga por</w:t>
      </w:r>
      <w:r w:rsidRPr="006D390D">
        <w:rPr>
          <w:rFonts w:cs="Calibri"/>
        </w:rPr>
        <w:t xml:space="preserve"> presentad</w:t>
      </w:r>
      <w:r w:rsidR="00A27BE0" w:rsidRPr="006D390D">
        <w:rPr>
          <w:rFonts w:cs="Calibri"/>
        </w:rPr>
        <w:t xml:space="preserve">a la </w:t>
      </w:r>
      <w:r w:rsidRPr="006D390D">
        <w:rPr>
          <w:rFonts w:cs="Calibri"/>
        </w:rPr>
        <w:t>reclamación económica-administrativa</w:t>
      </w:r>
      <w:r w:rsidR="00A27BE0" w:rsidRPr="006D390D">
        <w:rPr>
          <w:rFonts w:cs="Calibri"/>
        </w:rPr>
        <w:t xml:space="preserve"> y la </w:t>
      </w:r>
      <w:r w:rsidRPr="006D390D">
        <w:rPr>
          <w:rFonts w:cs="Calibri"/>
        </w:rPr>
        <w:t>remita al Tribunal Económico-Administrativo Municipal de Madrid, junto con el expediente administrativo, a fin de continuar con la tramitación de la reclamación.</w:t>
      </w:r>
    </w:p>
    <w:p w14:paraId="7BB68DE6" w14:textId="77777777" w:rsidR="000D0E5C" w:rsidRPr="006D390D" w:rsidRDefault="000D0E5C" w:rsidP="000D0E5C">
      <w:pPr>
        <w:jc w:val="both"/>
        <w:rPr>
          <w:rFonts w:cs="Calibri"/>
        </w:rPr>
      </w:pPr>
      <w:r w:rsidRPr="006D390D">
        <w:rPr>
          <w:rFonts w:cs="Calibri"/>
        </w:rPr>
        <w:t>Asimismo,</w:t>
      </w:r>
    </w:p>
    <w:p w14:paraId="2143A274" w14:textId="6D4417F5" w:rsidR="000D0E5C" w:rsidRPr="006D390D" w:rsidRDefault="000D0E5C" w:rsidP="000D0E5C">
      <w:pPr>
        <w:jc w:val="both"/>
        <w:rPr>
          <w:rFonts w:cs="Calibri"/>
        </w:rPr>
      </w:pPr>
      <w:r w:rsidRPr="006D390D">
        <w:rPr>
          <w:rFonts w:cs="Calibri"/>
          <w:b/>
        </w:rPr>
        <w:t>SOLICITO AL TRIBUNAL ECONÓMICO-ADMINISTRATIVO MUNICIPAL DE MADRID</w:t>
      </w:r>
      <w:r w:rsidRPr="006D390D">
        <w:rPr>
          <w:rFonts w:cs="Calibri"/>
        </w:rPr>
        <w:t xml:space="preserve"> que</w:t>
      </w:r>
      <w:r w:rsidR="00CF1FBE" w:rsidRPr="006D390D">
        <w:rPr>
          <w:rFonts w:cs="Calibri"/>
        </w:rPr>
        <w:t xml:space="preserve"> </w:t>
      </w:r>
      <w:r w:rsidRPr="006D390D">
        <w:rPr>
          <w:rFonts w:cs="Calibri"/>
        </w:rPr>
        <w:t>continúe con la tramitación del procedimiento y dicte en su día resolución estimando la presente reclamación y ordenando la anulación del acuerdo impugnado, así como el reembolso de las cantidades satisfechas en pago de las liquidaciones impugnadas con los correspondientes intereses devengados desde el momento de su ingreso.</w:t>
      </w:r>
    </w:p>
    <w:p w14:paraId="2741C733" w14:textId="54335676" w:rsidR="00987013" w:rsidRPr="00987013" w:rsidRDefault="000D0E5C" w:rsidP="00140BCC">
      <w:pPr>
        <w:jc w:val="both"/>
        <w:rPr>
          <w:rFonts w:cs="Calibri"/>
          <w:vanish/>
          <w:specVanish/>
        </w:rPr>
      </w:pPr>
      <w:r w:rsidRPr="006D390D">
        <w:rPr>
          <w:rFonts w:cs="Calibri"/>
        </w:rPr>
        <w:lastRenderedPageBreak/>
        <w:t xml:space="preserve">Todo ello por ser de justicia que respetuosamente pido en Madrid, a </w:t>
      </w:r>
      <w:r w:rsidR="0035341F">
        <w:rPr>
          <w:rFonts w:cs="Calibri"/>
        </w:rPr>
        <w:t>[DIA]</w:t>
      </w:r>
      <w:r w:rsidR="00A04813" w:rsidRPr="006D390D">
        <w:rPr>
          <w:rFonts w:cs="Calibri"/>
        </w:rPr>
        <w:t xml:space="preserve"> de </w:t>
      </w:r>
      <w:r w:rsidR="00987013">
        <w:rPr>
          <w:rFonts w:cs="Calibri"/>
        </w:rPr>
        <w:t>[MES]</w:t>
      </w:r>
      <w:r w:rsidR="00166EE9" w:rsidRPr="006D390D">
        <w:rPr>
          <w:rFonts w:cs="Calibri"/>
        </w:rPr>
        <w:t xml:space="preserve"> </w:t>
      </w:r>
      <w:r w:rsidRPr="006D390D">
        <w:rPr>
          <w:rFonts w:cs="Calibri"/>
        </w:rPr>
        <w:t xml:space="preserve">de </w:t>
      </w:r>
      <w:r w:rsidR="00987013">
        <w:rPr>
          <w:rFonts w:cs="Calibri"/>
        </w:rPr>
        <w:t>[AÑO]</w:t>
      </w:r>
      <w:r w:rsidR="00D50212" w:rsidRPr="006D390D">
        <w:rPr>
          <w:rFonts w:cs="Calibri"/>
        </w:rPr>
        <w:t>.</w:t>
      </w:r>
    </w:p>
    <w:p w14:paraId="4D121078" w14:textId="2183B13E" w:rsidR="003013A8" w:rsidRPr="006D390D" w:rsidRDefault="00987013" w:rsidP="00987013">
      <w:pPr>
        <w:rPr>
          <w:rFonts w:cs="Calibri"/>
        </w:rPr>
      </w:pPr>
      <w:r>
        <w:rPr>
          <w:rFonts w:cs="Calibri"/>
        </w:rPr>
        <w:t xml:space="preserve"> </w:t>
      </w:r>
    </w:p>
    <w:sectPr w:rsidR="003013A8" w:rsidRPr="006D390D" w:rsidSect="003F73B0">
      <w:headerReference w:type="default" r:id="rId8"/>
      <w:footerReference w:type="default" r:id="rId9"/>
      <w:pgSz w:w="11906" w:h="16838"/>
      <w:pgMar w:top="1701"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7D790" w14:textId="77777777" w:rsidR="004D5E62" w:rsidRDefault="004D5E62" w:rsidP="000A3820">
      <w:pPr>
        <w:spacing w:after="0" w:line="240" w:lineRule="auto"/>
      </w:pPr>
      <w:r>
        <w:separator/>
      </w:r>
    </w:p>
  </w:endnote>
  <w:endnote w:type="continuationSeparator" w:id="0">
    <w:p w14:paraId="014D2EB3" w14:textId="77777777" w:rsidR="004D5E62" w:rsidRDefault="004D5E62" w:rsidP="000A38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6878745"/>
      <w:docPartObj>
        <w:docPartGallery w:val="Page Numbers (Bottom of Page)"/>
        <w:docPartUnique/>
      </w:docPartObj>
    </w:sdtPr>
    <w:sdtContent>
      <w:p w14:paraId="46C65A8F" w14:textId="6786B614" w:rsidR="00E5113C" w:rsidRDefault="0024410E">
        <w:pPr>
          <w:pStyle w:val="Piedepgina"/>
          <w:jc w:val="right"/>
        </w:pPr>
        <w:r>
          <w:tab/>
        </w:r>
        <w:r w:rsidR="00E5113C">
          <w:fldChar w:fldCharType="begin"/>
        </w:r>
        <w:r w:rsidR="00E5113C">
          <w:instrText>PAGE   \* MERGEFORMAT</w:instrText>
        </w:r>
        <w:r w:rsidR="00E5113C">
          <w:fldChar w:fldCharType="separate"/>
        </w:r>
        <w:r w:rsidR="00E5113C">
          <w:t>2</w:t>
        </w:r>
        <w:r w:rsidR="00E5113C">
          <w:fldChar w:fldCharType="end"/>
        </w:r>
      </w:p>
    </w:sdtContent>
  </w:sdt>
  <w:p w14:paraId="63CF9DBC" w14:textId="77777777" w:rsidR="00E5113C" w:rsidRDefault="00E5113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B08CB" w14:textId="77777777" w:rsidR="004D5E62" w:rsidRDefault="004D5E62" w:rsidP="000A3820">
      <w:pPr>
        <w:spacing w:after="0" w:line="240" w:lineRule="auto"/>
      </w:pPr>
      <w:r>
        <w:separator/>
      </w:r>
    </w:p>
  </w:footnote>
  <w:footnote w:type="continuationSeparator" w:id="0">
    <w:p w14:paraId="431148DC" w14:textId="77777777" w:rsidR="004D5E62" w:rsidRDefault="004D5E62" w:rsidP="000A38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7FA95" w14:textId="5AE96F3E" w:rsidR="000A3820" w:rsidRDefault="000A3820">
    <w:pPr>
      <w:pStyle w:val="Encabezado"/>
    </w:pPr>
  </w:p>
  <w:p w14:paraId="1902762F" w14:textId="77777777" w:rsidR="000A3820" w:rsidRDefault="000A382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F2201"/>
    <w:multiLevelType w:val="hybridMultilevel"/>
    <w:tmpl w:val="8B9C5F82"/>
    <w:lvl w:ilvl="0" w:tplc="0C0A001B">
      <w:start w:val="1"/>
      <w:numFmt w:val="lowerRoman"/>
      <w:lvlText w:val="%1."/>
      <w:lvlJc w:val="righ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6874DCD"/>
    <w:multiLevelType w:val="hybridMultilevel"/>
    <w:tmpl w:val="77E4CA2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6B478CA"/>
    <w:multiLevelType w:val="hybridMultilevel"/>
    <w:tmpl w:val="22E04EBE"/>
    <w:lvl w:ilvl="0" w:tplc="FFFFFFFF">
      <w:start w:val="1"/>
      <w:numFmt w:val="lowerRoman"/>
      <w:lvlText w:val="%1."/>
      <w:lvlJc w:val="right"/>
      <w:pPr>
        <w:ind w:left="720" w:hanging="360"/>
      </w:pPr>
    </w:lvl>
    <w:lvl w:ilvl="1" w:tplc="0C0A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7157C73"/>
    <w:multiLevelType w:val="hybridMultilevel"/>
    <w:tmpl w:val="275EC16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5C847EBC"/>
    <w:multiLevelType w:val="hybridMultilevel"/>
    <w:tmpl w:val="A910685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5CFD1970"/>
    <w:multiLevelType w:val="hybridMultilevel"/>
    <w:tmpl w:val="5C9673C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6AB85A65"/>
    <w:multiLevelType w:val="hybridMultilevel"/>
    <w:tmpl w:val="6100B258"/>
    <w:lvl w:ilvl="0" w:tplc="A238DECE">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37596128">
    <w:abstractNumId w:val="1"/>
  </w:num>
  <w:num w:numId="2" w16cid:durableId="903217879">
    <w:abstractNumId w:val="0"/>
  </w:num>
  <w:num w:numId="3" w16cid:durableId="1127353790">
    <w:abstractNumId w:val="4"/>
  </w:num>
  <w:num w:numId="4" w16cid:durableId="1030834688">
    <w:abstractNumId w:val="3"/>
  </w:num>
  <w:num w:numId="5" w16cid:durableId="1858080367">
    <w:abstractNumId w:val="5"/>
  </w:num>
  <w:num w:numId="6" w16cid:durableId="806432708">
    <w:abstractNumId w:val="6"/>
  </w:num>
  <w:num w:numId="7" w16cid:durableId="5045142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E93"/>
    <w:rsid w:val="00001801"/>
    <w:rsid w:val="0000392F"/>
    <w:rsid w:val="00004463"/>
    <w:rsid w:val="00012B87"/>
    <w:rsid w:val="00015781"/>
    <w:rsid w:val="00023D24"/>
    <w:rsid w:val="000406AD"/>
    <w:rsid w:val="00045641"/>
    <w:rsid w:val="00047BAE"/>
    <w:rsid w:val="00051B47"/>
    <w:rsid w:val="000556F3"/>
    <w:rsid w:val="0008354F"/>
    <w:rsid w:val="00095F96"/>
    <w:rsid w:val="00097C6C"/>
    <w:rsid w:val="000A053C"/>
    <w:rsid w:val="000A2D08"/>
    <w:rsid w:val="000A3820"/>
    <w:rsid w:val="000A68E5"/>
    <w:rsid w:val="000B5B91"/>
    <w:rsid w:val="000B628E"/>
    <w:rsid w:val="000C0837"/>
    <w:rsid w:val="000C0DB5"/>
    <w:rsid w:val="000C1955"/>
    <w:rsid w:val="000C4626"/>
    <w:rsid w:val="000D0391"/>
    <w:rsid w:val="000D0B15"/>
    <w:rsid w:val="000D0E5C"/>
    <w:rsid w:val="000D3217"/>
    <w:rsid w:val="000E2D24"/>
    <w:rsid w:val="000F00C3"/>
    <w:rsid w:val="000F5BD6"/>
    <w:rsid w:val="000F6987"/>
    <w:rsid w:val="00111B34"/>
    <w:rsid w:val="001133B4"/>
    <w:rsid w:val="00117BD6"/>
    <w:rsid w:val="00131CDC"/>
    <w:rsid w:val="001346F3"/>
    <w:rsid w:val="00135174"/>
    <w:rsid w:val="00140BCC"/>
    <w:rsid w:val="001525DA"/>
    <w:rsid w:val="0015300B"/>
    <w:rsid w:val="00155969"/>
    <w:rsid w:val="0016005A"/>
    <w:rsid w:val="00166EE9"/>
    <w:rsid w:val="00166F50"/>
    <w:rsid w:val="001751B0"/>
    <w:rsid w:val="0019551C"/>
    <w:rsid w:val="001A060B"/>
    <w:rsid w:val="001C3E3E"/>
    <w:rsid w:val="001D6E4D"/>
    <w:rsid w:val="001E637B"/>
    <w:rsid w:val="001F2B99"/>
    <w:rsid w:val="002069BD"/>
    <w:rsid w:val="0020715B"/>
    <w:rsid w:val="0024410E"/>
    <w:rsid w:val="00245A4E"/>
    <w:rsid w:val="00250268"/>
    <w:rsid w:val="00250A4D"/>
    <w:rsid w:val="002537AA"/>
    <w:rsid w:val="002546BA"/>
    <w:rsid w:val="002800EE"/>
    <w:rsid w:val="002B4E5F"/>
    <w:rsid w:val="002B59F4"/>
    <w:rsid w:val="002B5EAD"/>
    <w:rsid w:val="002B714F"/>
    <w:rsid w:val="002C37BE"/>
    <w:rsid w:val="002C4DA5"/>
    <w:rsid w:val="002D5C23"/>
    <w:rsid w:val="002D620A"/>
    <w:rsid w:val="002D7032"/>
    <w:rsid w:val="002E75A3"/>
    <w:rsid w:val="002F3C65"/>
    <w:rsid w:val="0030028E"/>
    <w:rsid w:val="00300BB5"/>
    <w:rsid w:val="003013A8"/>
    <w:rsid w:val="003075C6"/>
    <w:rsid w:val="0031033D"/>
    <w:rsid w:val="00311B9E"/>
    <w:rsid w:val="003129EF"/>
    <w:rsid w:val="0031374A"/>
    <w:rsid w:val="003231E6"/>
    <w:rsid w:val="00324E78"/>
    <w:rsid w:val="0032551D"/>
    <w:rsid w:val="00340B75"/>
    <w:rsid w:val="00351E85"/>
    <w:rsid w:val="0035341F"/>
    <w:rsid w:val="00356D4B"/>
    <w:rsid w:val="00360327"/>
    <w:rsid w:val="003746BF"/>
    <w:rsid w:val="003844CE"/>
    <w:rsid w:val="003917D6"/>
    <w:rsid w:val="003970CA"/>
    <w:rsid w:val="0039748B"/>
    <w:rsid w:val="003D0E6C"/>
    <w:rsid w:val="003D39E9"/>
    <w:rsid w:val="003E176C"/>
    <w:rsid w:val="003E1CDA"/>
    <w:rsid w:val="003F3FE3"/>
    <w:rsid w:val="003F73B0"/>
    <w:rsid w:val="00406F08"/>
    <w:rsid w:val="0042555B"/>
    <w:rsid w:val="0043193A"/>
    <w:rsid w:val="00435400"/>
    <w:rsid w:val="00442B2A"/>
    <w:rsid w:val="0045775A"/>
    <w:rsid w:val="00461B1D"/>
    <w:rsid w:val="00462A42"/>
    <w:rsid w:val="00462DE5"/>
    <w:rsid w:val="00471BE9"/>
    <w:rsid w:val="0048116F"/>
    <w:rsid w:val="00495432"/>
    <w:rsid w:val="004A5F1A"/>
    <w:rsid w:val="004A654E"/>
    <w:rsid w:val="004A75FC"/>
    <w:rsid w:val="004B3925"/>
    <w:rsid w:val="004B6294"/>
    <w:rsid w:val="004C14C4"/>
    <w:rsid w:val="004C4C37"/>
    <w:rsid w:val="004C66EA"/>
    <w:rsid w:val="004D5E62"/>
    <w:rsid w:val="00503CD5"/>
    <w:rsid w:val="00505065"/>
    <w:rsid w:val="00515D91"/>
    <w:rsid w:val="00515E96"/>
    <w:rsid w:val="0052277A"/>
    <w:rsid w:val="00543F44"/>
    <w:rsid w:val="00544ACC"/>
    <w:rsid w:val="005468E3"/>
    <w:rsid w:val="00551A17"/>
    <w:rsid w:val="0055221C"/>
    <w:rsid w:val="00554956"/>
    <w:rsid w:val="00583F40"/>
    <w:rsid w:val="005841F0"/>
    <w:rsid w:val="005909F4"/>
    <w:rsid w:val="0059115B"/>
    <w:rsid w:val="0059303D"/>
    <w:rsid w:val="00595A83"/>
    <w:rsid w:val="005A0A81"/>
    <w:rsid w:val="005B6440"/>
    <w:rsid w:val="005B78C7"/>
    <w:rsid w:val="005C1239"/>
    <w:rsid w:val="005C1F82"/>
    <w:rsid w:val="005D6295"/>
    <w:rsid w:val="005E100A"/>
    <w:rsid w:val="006076BE"/>
    <w:rsid w:val="00611E9E"/>
    <w:rsid w:val="00627406"/>
    <w:rsid w:val="006308EB"/>
    <w:rsid w:val="006377B6"/>
    <w:rsid w:val="00640B3B"/>
    <w:rsid w:val="00651C9A"/>
    <w:rsid w:val="00690F79"/>
    <w:rsid w:val="006934E3"/>
    <w:rsid w:val="006A3A89"/>
    <w:rsid w:val="006C4D3A"/>
    <w:rsid w:val="006D1E03"/>
    <w:rsid w:val="006D390D"/>
    <w:rsid w:val="006E0C57"/>
    <w:rsid w:val="006E1F08"/>
    <w:rsid w:val="006E754A"/>
    <w:rsid w:val="007108AF"/>
    <w:rsid w:val="00720CF7"/>
    <w:rsid w:val="00727171"/>
    <w:rsid w:val="00732FEB"/>
    <w:rsid w:val="00742569"/>
    <w:rsid w:val="00760D57"/>
    <w:rsid w:val="00761BFD"/>
    <w:rsid w:val="007631EB"/>
    <w:rsid w:val="0076435F"/>
    <w:rsid w:val="00777B68"/>
    <w:rsid w:val="00791602"/>
    <w:rsid w:val="007952D2"/>
    <w:rsid w:val="007A46CD"/>
    <w:rsid w:val="007B4E93"/>
    <w:rsid w:val="007B5300"/>
    <w:rsid w:val="007D4F34"/>
    <w:rsid w:val="007E5242"/>
    <w:rsid w:val="007F62AF"/>
    <w:rsid w:val="008028B4"/>
    <w:rsid w:val="008044F9"/>
    <w:rsid w:val="00811B31"/>
    <w:rsid w:val="0081471F"/>
    <w:rsid w:val="00823EAD"/>
    <w:rsid w:val="00830E6C"/>
    <w:rsid w:val="00842AAC"/>
    <w:rsid w:val="00842B72"/>
    <w:rsid w:val="00855790"/>
    <w:rsid w:val="00856F01"/>
    <w:rsid w:val="00860095"/>
    <w:rsid w:val="0086474E"/>
    <w:rsid w:val="008753C0"/>
    <w:rsid w:val="00875AB7"/>
    <w:rsid w:val="00876FD7"/>
    <w:rsid w:val="00880C73"/>
    <w:rsid w:val="00882F2B"/>
    <w:rsid w:val="00894B7D"/>
    <w:rsid w:val="008A1417"/>
    <w:rsid w:val="008A5346"/>
    <w:rsid w:val="008B432D"/>
    <w:rsid w:val="008B6EA1"/>
    <w:rsid w:val="008C2F52"/>
    <w:rsid w:val="008C41EB"/>
    <w:rsid w:val="008D2729"/>
    <w:rsid w:val="008D42E1"/>
    <w:rsid w:val="008D583C"/>
    <w:rsid w:val="008E3AC8"/>
    <w:rsid w:val="008F1FB3"/>
    <w:rsid w:val="008F2A69"/>
    <w:rsid w:val="00913064"/>
    <w:rsid w:val="00913F85"/>
    <w:rsid w:val="00916702"/>
    <w:rsid w:val="009173B4"/>
    <w:rsid w:val="009208D8"/>
    <w:rsid w:val="00926A0F"/>
    <w:rsid w:val="00931645"/>
    <w:rsid w:val="00932AA7"/>
    <w:rsid w:val="00943A42"/>
    <w:rsid w:val="00946FE6"/>
    <w:rsid w:val="009560D0"/>
    <w:rsid w:val="00960193"/>
    <w:rsid w:val="009642D7"/>
    <w:rsid w:val="00967556"/>
    <w:rsid w:val="00970488"/>
    <w:rsid w:val="00970921"/>
    <w:rsid w:val="009750A0"/>
    <w:rsid w:val="00985125"/>
    <w:rsid w:val="00987013"/>
    <w:rsid w:val="00987B13"/>
    <w:rsid w:val="009A2230"/>
    <w:rsid w:val="009A2B5A"/>
    <w:rsid w:val="009A4B4F"/>
    <w:rsid w:val="009B6470"/>
    <w:rsid w:val="009B748D"/>
    <w:rsid w:val="009C0D96"/>
    <w:rsid w:val="009C183A"/>
    <w:rsid w:val="009D3E52"/>
    <w:rsid w:val="009D52E9"/>
    <w:rsid w:val="009E1CBD"/>
    <w:rsid w:val="009E3532"/>
    <w:rsid w:val="009E3FE8"/>
    <w:rsid w:val="009F4DCF"/>
    <w:rsid w:val="009F68E0"/>
    <w:rsid w:val="00A00173"/>
    <w:rsid w:val="00A04813"/>
    <w:rsid w:val="00A066A2"/>
    <w:rsid w:val="00A10161"/>
    <w:rsid w:val="00A20F3E"/>
    <w:rsid w:val="00A22467"/>
    <w:rsid w:val="00A27BE0"/>
    <w:rsid w:val="00A456CC"/>
    <w:rsid w:val="00A45E16"/>
    <w:rsid w:val="00A7023A"/>
    <w:rsid w:val="00A77993"/>
    <w:rsid w:val="00A812E9"/>
    <w:rsid w:val="00A82EC1"/>
    <w:rsid w:val="00A940C6"/>
    <w:rsid w:val="00AA2587"/>
    <w:rsid w:val="00AC462C"/>
    <w:rsid w:val="00AC4CB1"/>
    <w:rsid w:val="00AD1447"/>
    <w:rsid w:val="00AD35B4"/>
    <w:rsid w:val="00AD68E4"/>
    <w:rsid w:val="00AE2CC8"/>
    <w:rsid w:val="00B005D5"/>
    <w:rsid w:val="00B01FE3"/>
    <w:rsid w:val="00B025B7"/>
    <w:rsid w:val="00B05413"/>
    <w:rsid w:val="00B07193"/>
    <w:rsid w:val="00B07438"/>
    <w:rsid w:val="00B14610"/>
    <w:rsid w:val="00B14EA6"/>
    <w:rsid w:val="00B2639F"/>
    <w:rsid w:val="00B27726"/>
    <w:rsid w:val="00B366F7"/>
    <w:rsid w:val="00B4023F"/>
    <w:rsid w:val="00B466CF"/>
    <w:rsid w:val="00B605A1"/>
    <w:rsid w:val="00B92E96"/>
    <w:rsid w:val="00BC34EF"/>
    <w:rsid w:val="00BC7AA6"/>
    <w:rsid w:val="00BD039B"/>
    <w:rsid w:val="00BD1B7A"/>
    <w:rsid w:val="00BF026B"/>
    <w:rsid w:val="00BF681F"/>
    <w:rsid w:val="00C04A33"/>
    <w:rsid w:val="00C06E8E"/>
    <w:rsid w:val="00C151C3"/>
    <w:rsid w:val="00C2463C"/>
    <w:rsid w:val="00C251B7"/>
    <w:rsid w:val="00C30956"/>
    <w:rsid w:val="00C31F2A"/>
    <w:rsid w:val="00C50FBF"/>
    <w:rsid w:val="00C516C9"/>
    <w:rsid w:val="00C563CF"/>
    <w:rsid w:val="00C63A28"/>
    <w:rsid w:val="00C642F7"/>
    <w:rsid w:val="00C64EC9"/>
    <w:rsid w:val="00C659FC"/>
    <w:rsid w:val="00C676C1"/>
    <w:rsid w:val="00C72F6F"/>
    <w:rsid w:val="00CA2C35"/>
    <w:rsid w:val="00CB363A"/>
    <w:rsid w:val="00CC6377"/>
    <w:rsid w:val="00CC7017"/>
    <w:rsid w:val="00CD3F2E"/>
    <w:rsid w:val="00CE238C"/>
    <w:rsid w:val="00CF1FBE"/>
    <w:rsid w:val="00CF35F2"/>
    <w:rsid w:val="00D00F60"/>
    <w:rsid w:val="00D04814"/>
    <w:rsid w:val="00D1069A"/>
    <w:rsid w:val="00D106B2"/>
    <w:rsid w:val="00D24607"/>
    <w:rsid w:val="00D25A6C"/>
    <w:rsid w:val="00D2795C"/>
    <w:rsid w:val="00D35DA1"/>
    <w:rsid w:val="00D4560B"/>
    <w:rsid w:val="00D50212"/>
    <w:rsid w:val="00D55E30"/>
    <w:rsid w:val="00D57FEE"/>
    <w:rsid w:val="00D60C14"/>
    <w:rsid w:val="00D62DB7"/>
    <w:rsid w:val="00D63FBB"/>
    <w:rsid w:val="00D746E7"/>
    <w:rsid w:val="00D74871"/>
    <w:rsid w:val="00D77CF5"/>
    <w:rsid w:val="00D943B0"/>
    <w:rsid w:val="00DB480F"/>
    <w:rsid w:val="00DC338E"/>
    <w:rsid w:val="00DC587A"/>
    <w:rsid w:val="00DD098C"/>
    <w:rsid w:val="00DD51CF"/>
    <w:rsid w:val="00DE5AF8"/>
    <w:rsid w:val="00DE5E5B"/>
    <w:rsid w:val="00E05389"/>
    <w:rsid w:val="00E07297"/>
    <w:rsid w:val="00E30A11"/>
    <w:rsid w:val="00E408C9"/>
    <w:rsid w:val="00E4202B"/>
    <w:rsid w:val="00E50638"/>
    <w:rsid w:val="00E5113C"/>
    <w:rsid w:val="00E56D9D"/>
    <w:rsid w:val="00E57AF5"/>
    <w:rsid w:val="00E62B2D"/>
    <w:rsid w:val="00E640DB"/>
    <w:rsid w:val="00E66DB0"/>
    <w:rsid w:val="00E77D3E"/>
    <w:rsid w:val="00E81BC5"/>
    <w:rsid w:val="00E85E9F"/>
    <w:rsid w:val="00E92D5D"/>
    <w:rsid w:val="00EA1D4B"/>
    <w:rsid w:val="00EA2243"/>
    <w:rsid w:val="00EA2B6C"/>
    <w:rsid w:val="00EB6A5E"/>
    <w:rsid w:val="00EC45BB"/>
    <w:rsid w:val="00EC7936"/>
    <w:rsid w:val="00ED145C"/>
    <w:rsid w:val="00EE6E83"/>
    <w:rsid w:val="00F07B0B"/>
    <w:rsid w:val="00F1078D"/>
    <w:rsid w:val="00F11BD0"/>
    <w:rsid w:val="00F14213"/>
    <w:rsid w:val="00F16F66"/>
    <w:rsid w:val="00F27AC8"/>
    <w:rsid w:val="00F30D60"/>
    <w:rsid w:val="00F36FCA"/>
    <w:rsid w:val="00F64A94"/>
    <w:rsid w:val="00F65611"/>
    <w:rsid w:val="00F810F1"/>
    <w:rsid w:val="00F83A74"/>
    <w:rsid w:val="00F865DA"/>
    <w:rsid w:val="00F96573"/>
    <w:rsid w:val="00FA0E39"/>
    <w:rsid w:val="00FB2083"/>
    <w:rsid w:val="00FC35B3"/>
    <w:rsid w:val="00FC3642"/>
    <w:rsid w:val="00FD437D"/>
    <w:rsid w:val="00FE266E"/>
    <w:rsid w:val="00FF42C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0EED2D"/>
  <w15:chartTrackingRefBased/>
  <w15:docId w15:val="{EDEB286B-680C-409E-B73B-1E6816DF5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B4E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B4E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B4E9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B4E9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B4E9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B4E9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B4E9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B4E9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B4E9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B4E9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B4E9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B4E9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B4E9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B4E9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B4E9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B4E9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B4E9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B4E93"/>
    <w:rPr>
      <w:rFonts w:eastAsiaTheme="majorEastAsia" w:cstheme="majorBidi"/>
      <w:color w:val="272727" w:themeColor="text1" w:themeTint="D8"/>
    </w:rPr>
  </w:style>
  <w:style w:type="paragraph" w:styleId="Ttulo">
    <w:name w:val="Title"/>
    <w:basedOn w:val="Normal"/>
    <w:next w:val="Normal"/>
    <w:link w:val="TtuloCar"/>
    <w:uiPriority w:val="10"/>
    <w:qFormat/>
    <w:rsid w:val="007B4E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B4E9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B4E9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B4E9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B4E93"/>
    <w:pPr>
      <w:spacing w:before="160"/>
      <w:jc w:val="center"/>
    </w:pPr>
    <w:rPr>
      <w:i/>
      <w:iCs/>
      <w:color w:val="404040" w:themeColor="text1" w:themeTint="BF"/>
    </w:rPr>
  </w:style>
  <w:style w:type="character" w:customStyle="1" w:styleId="CitaCar">
    <w:name w:val="Cita Car"/>
    <w:basedOn w:val="Fuentedeprrafopredeter"/>
    <w:link w:val="Cita"/>
    <w:uiPriority w:val="29"/>
    <w:rsid w:val="007B4E93"/>
    <w:rPr>
      <w:i/>
      <w:iCs/>
      <w:color w:val="404040" w:themeColor="text1" w:themeTint="BF"/>
    </w:rPr>
  </w:style>
  <w:style w:type="paragraph" w:styleId="Prrafodelista">
    <w:name w:val="List Paragraph"/>
    <w:basedOn w:val="Normal"/>
    <w:uiPriority w:val="34"/>
    <w:qFormat/>
    <w:rsid w:val="007B4E93"/>
    <w:pPr>
      <w:ind w:left="720"/>
      <w:contextualSpacing/>
    </w:pPr>
  </w:style>
  <w:style w:type="character" w:styleId="nfasisintenso">
    <w:name w:val="Intense Emphasis"/>
    <w:basedOn w:val="Fuentedeprrafopredeter"/>
    <w:uiPriority w:val="21"/>
    <w:qFormat/>
    <w:rsid w:val="007B4E93"/>
    <w:rPr>
      <w:i/>
      <w:iCs/>
      <w:color w:val="0F4761" w:themeColor="accent1" w:themeShade="BF"/>
    </w:rPr>
  </w:style>
  <w:style w:type="paragraph" w:styleId="Citadestacada">
    <w:name w:val="Intense Quote"/>
    <w:basedOn w:val="Normal"/>
    <w:next w:val="Normal"/>
    <w:link w:val="CitadestacadaCar"/>
    <w:uiPriority w:val="30"/>
    <w:qFormat/>
    <w:rsid w:val="007B4E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B4E93"/>
    <w:rPr>
      <w:i/>
      <w:iCs/>
      <w:color w:val="0F4761" w:themeColor="accent1" w:themeShade="BF"/>
    </w:rPr>
  </w:style>
  <w:style w:type="character" w:styleId="Referenciaintensa">
    <w:name w:val="Intense Reference"/>
    <w:basedOn w:val="Fuentedeprrafopredeter"/>
    <w:uiPriority w:val="32"/>
    <w:qFormat/>
    <w:rsid w:val="007B4E93"/>
    <w:rPr>
      <w:b/>
      <w:bCs/>
      <w:smallCaps/>
      <w:color w:val="0F4761" w:themeColor="accent1" w:themeShade="BF"/>
      <w:spacing w:val="5"/>
    </w:rPr>
  </w:style>
  <w:style w:type="character" w:styleId="Hipervnculo">
    <w:name w:val="Hyperlink"/>
    <w:basedOn w:val="Fuentedeprrafopredeter"/>
    <w:unhideWhenUsed/>
    <w:rsid w:val="00811B31"/>
    <w:rPr>
      <w:color w:val="467886" w:themeColor="hyperlink"/>
      <w:u w:val="single"/>
    </w:rPr>
  </w:style>
  <w:style w:type="character" w:styleId="Mencinsinresolver">
    <w:name w:val="Unresolved Mention"/>
    <w:basedOn w:val="Fuentedeprrafopredeter"/>
    <w:uiPriority w:val="99"/>
    <w:semiHidden/>
    <w:unhideWhenUsed/>
    <w:rsid w:val="00811B31"/>
    <w:rPr>
      <w:color w:val="605E5C"/>
      <w:shd w:val="clear" w:color="auto" w:fill="E1DFDD"/>
    </w:rPr>
  </w:style>
  <w:style w:type="paragraph" w:styleId="Encabezado">
    <w:name w:val="header"/>
    <w:basedOn w:val="Normal"/>
    <w:link w:val="EncabezadoCar"/>
    <w:uiPriority w:val="99"/>
    <w:unhideWhenUsed/>
    <w:rsid w:val="000A382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A3820"/>
  </w:style>
  <w:style w:type="paragraph" w:styleId="Piedepgina">
    <w:name w:val="footer"/>
    <w:basedOn w:val="Normal"/>
    <w:link w:val="PiedepginaCar"/>
    <w:uiPriority w:val="99"/>
    <w:unhideWhenUsed/>
    <w:rsid w:val="000A382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A3820"/>
  </w:style>
  <w:style w:type="table" w:styleId="Tablaconcuadrcula">
    <w:name w:val="Table Grid"/>
    <w:basedOn w:val="Tablanormal"/>
    <w:uiPriority w:val="39"/>
    <w:rsid w:val="00EA22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2972</Words>
  <Characters>16348</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Arturo Jiménez Contento - AEDAF</dc:creator>
  <cp:keywords/>
  <dc:description/>
  <cp:lastModifiedBy>Jaime Palacios</cp:lastModifiedBy>
  <cp:revision>12</cp:revision>
  <cp:lastPrinted>2025-07-07T09:57:00Z</cp:lastPrinted>
  <dcterms:created xsi:type="dcterms:W3CDTF">2026-10-01T07:15:00Z</dcterms:created>
  <dcterms:modified xsi:type="dcterms:W3CDTF">2026-10-01T07:22:00Z</dcterms:modified>
</cp:coreProperties>
</file>